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6514"/>
        <w:gridCol w:w="2846"/>
      </w:tblGrid>
      <w:tr w:rsidR="00B25968" w:rsidRPr="00B25968" w:rsidTr="00B25968">
        <w:trPr>
          <w:tblCellSpacing w:w="0" w:type="dxa"/>
        </w:trPr>
        <w:tc>
          <w:tcPr>
            <w:tcW w:w="12000" w:type="dxa"/>
            <w:shd w:val="clear" w:color="auto" w:fill="FFFFFF"/>
            <w:hideMark/>
          </w:tcPr>
          <w:tbl>
            <w:tblPr>
              <w:tblW w:w="5000" w:type="pct"/>
              <w:tblCellSpacing w:w="0" w:type="dxa"/>
              <w:shd w:val="clear" w:color="auto" w:fill="FFFFFF"/>
              <w:tblCellMar>
                <w:left w:w="0" w:type="dxa"/>
                <w:right w:w="0" w:type="dxa"/>
              </w:tblCellMar>
              <w:tblLook w:val="04A0"/>
            </w:tblPr>
            <w:tblGrid>
              <w:gridCol w:w="6364"/>
              <w:gridCol w:w="150"/>
            </w:tblGrid>
            <w:tr w:rsidR="00B25968" w:rsidRPr="00B25968">
              <w:trPr>
                <w:tblCellSpacing w:w="0" w:type="dxa"/>
              </w:trPr>
              <w:tc>
                <w:tcPr>
                  <w:tcW w:w="5000" w:type="pct"/>
                  <w:shd w:val="clear" w:color="auto" w:fill="FFFFFF"/>
                  <w:hideMark/>
                </w:tcPr>
                <w:p w:rsidR="00B25968" w:rsidRPr="00B25968" w:rsidRDefault="00B25968" w:rsidP="00B25968">
                  <w:pPr>
                    <w:spacing w:after="0" w:line="240" w:lineRule="auto"/>
                    <w:rPr>
                      <w:rFonts w:ascii="Verdana" w:eastAsia="Times New Roman" w:hAnsi="Verdana" w:cs="Arial"/>
                      <w:color w:val="000000"/>
                      <w:sz w:val="18"/>
                      <w:szCs w:val="18"/>
                    </w:rPr>
                  </w:pPr>
                  <w:r w:rsidRPr="00B25968">
                    <w:rPr>
                      <w:rFonts w:ascii="Verdana" w:eastAsia="Times New Roman" w:hAnsi="Verdana" w:cs="Arial"/>
                      <w:b/>
                      <w:bCs/>
                      <w:color w:val="000000"/>
                      <w:sz w:val="18"/>
                      <w:szCs w:val="18"/>
                    </w:rPr>
                    <w:t>Attitudes Toward Guns and Violence Questionnaire (AGVQ)</w:t>
                  </w:r>
                  <w:r w:rsidRPr="00B25968">
                    <w:rPr>
                      <w:rFonts w:ascii="Verdana" w:eastAsia="Times New Roman" w:hAnsi="Verdana" w:cs="Arial"/>
                      <w:color w:val="000000"/>
                      <w:sz w:val="18"/>
                      <w:szCs w:val="18"/>
                    </w:rPr>
                    <w:t xml:space="preserve"> </w:t>
                  </w:r>
                  <w:r w:rsidRPr="00B25968">
                    <w:rPr>
                      <w:rFonts w:ascii="Verdana" w:eastAsia="Times New Roman" w:hAnsi="Verdana" w:cs="Arial"/>
                      <w:color w:val="000000"/>
                      <w:sz w:val="18"/>
                      <w:szCs w:val="18"/>
                    </w:rPr>
                    <w:br/>
                    <w:t xml:space="preserve">by Jeremy P. Shapiro, Ph.D. </w:t>
                  </w:r>
                </w:p>
              </w:tc>
              <w:tc>
                <w:tcPr>
                  <w:tcW w:w="150" w:type="dxa"/>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
                        <wp:effectExtent l="0" t="0" r="0" b="0"/>
                        <wp:docPr id="1" name="Picture 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25968" w:rsidRPr="00B25968">
              <w:trPr>
                <w:tblCellSpacing w:w="0" w:type="dxa"/>
              </w:trPr>
              <w:tc>
                <w:tcPr>
                  <w:tcW w:w="5000" w:type="pct"/>
                  <w:gridSpan w:val="2"/>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0"/>
                        <wp:effectExtent l="0" t="0" r="0" b="0"/>
                        <wp:docPr id="2" name="Picture 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25968" w:rsidRPr="00B25968" w:rsidRDefault="00B25968" w:rsidP="00B25968">
            <w:pPr>
              <w:spacing w:after="0" w:line="240" w:lineRule="auto"/>
              <w:rPr>
                <w:rFonts w:ascii="Verdana" w:eastAsia="Times New Roman" w:hAnsi="Verdana" w:cs="Times New Roman"/>
                <w:sz w:val="18"/>
                <w:szCs w:val="18"/>
              </w:rPr>
            </w:pPr>
          </w:p>
        </w:tc>
        <w:tc>
          <w:tcPr>
            <w:tcW w:w="6000" w:type="dxa"/>
            <w:shd w:val="clear" w:color="auto" w:fill="FFFFFF"/>
            <w:hideMark/>
          </w:tcPr>
          <w:tbl>
            <w:tblPr>
              <w:tblW w:w="5000" w:type="pct"/>
              <w:tblCellSpacing w:w="0" w:type="dxa"/>
              <w:shd w:val="clear" w:color="auto" w:fill="FFFFFF"/>
              <w:tblCellMar>
                <w:left w:w="0" w:type="dxa"/>
                <w:right w:w="0" w:type="dxa"/>
              </w:tblCellMar>
              <w:tblLook w:val="04A0"/>
            </w:tblPr>
            <w:tblGrid>
              <w:gridCol w:w="2846"/>
            </w:tblGrid>
            <w:tr w:rsidR="00B25968" w:rsidRPr="00B25968">
              <w:trPr>
                <w:tblCellSpacing w:w="0" w:type="dxa"/>
              </w:trPr>
              <w:tc>
                <w:tcPr>
                  <w:tcW w:w="0" w:type="auto"/>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p>
              </w:tc>
            </w:tr>
          </w:tbl>
          <w:p w:rsidR="00B25968" w:rsidRPr="00B25968" w:rsidRDefault="00B25968" w:rsidP="00B25968">
            <w:pPr>
              <w:spacing w:after="0" w:line="240" w:lineRule="auto"/>
              <w:rPr>
                <w:rFonts w:ascii="Verdana" w:eastAsia="Times New Roman" w:hAnsi="Verdana" w:cs="Times New Roman"/>
                <w:sz w:val="18"/>
                <w:szCs w:val="18"/>
              </w:rPr>
            </w:pPr>
          </w:p>
        </w:tc>
      </w:tr>
    </w:tbl>
    <w:p w:rsidR="00B25968" w:rsidRPr="00B25968" w:rsidRDefault="00B25968" w:rsidP="00B25968">
      <w:pPr>
        <w:spacing w:after="0" w:line="240" w:lineRule="auto"/>
        <w:rPr>
          <w:rFonts w:ascii="Verdana" w:eastAsia="Times New Roman" w:hAnsi="Verdana" w:cs="Times New Roman"/>
          <w:vanish/>
          <w:sz w:val="18"/>
          <w:szCs w:val="18"/>
          <w:lang/>
        </w:rPr>
      </w:pPr>
    </w:p>
    <w:tbl>
      <w:tblPr>
        <w:tblW w:w="4952" w:type="pct"/>
        <w:tblCellSpacing w:w="0" w:type="dxa"/>
        <w:tblInd w:w="90" w:type="dxa"/>
        <w:tblCellMar>
          <w:left w:w="0" w:type="dxa"/>
          <w:right w:w="0" w:type="dxa"/>
        </w:tblCellMar>
        <w:tblLook w:val="04A0"/>
      </w:tblPr>
      <w:tblGrid>
        <w:gridCol w:w="316"/>
        <w:gridCol w:w="3546"/>
        <w:gridCol w:w="5374"/>
        <w:gridCol w:w="34"/>
      </w:tblGrid>
      <w:tr w:rsidR="00B25968" w:rsidRPr="00B25968" w:rsidTr="00B25968">
        <w:trPr>
          <w:tblCellSpacing w:w="0" w:type="dxa"/>
        </w:trPr>
        <w:tc>
          <w:tcPr>
            <w:tcW w:w="3862" w:type="dxa"/>
            <w:gridSpan w:val="2"/>
            <w:hideMark/>
          </w:tcPr>
          <w:tbl>
            <w:tblPr>
              <w:tblW w:w="5000" w:type="pct"/>
              <w:tblCellSpacing w:w="0" w:type="dxa"/>
              <w:tblCellMar>
                <w:left w:w="0" w:type="dxa"/>
                <w:right w:w="0" w:type="dxa"/>
              </w:tblCellMar>
              <w:tblLook w:val="04A0"/>
            </w:tblPr>
            <w:tblGrid>
              <w:gridCol w:w="3862"/>
            </w:tblGrid>
            <w:tr w:rsidR="00B25968" w:rsidRPr="00B25968">
              <w:trPr>
                <w:tblCellSpacing w:w="0" w:type="dxa"/>
              </w:trPr>
              <w:tc>
                <w:tcPr>
                  <w:tcW w:w="0" w:type="auto"/>
                  <w:vAlign w:val="center"/>
                  <w:hideMark/>
                </w:tcPr>
                <w:p w:rsidR="00B25968" w:rsidRPr="00B25968" w:rsidRDefault="00B25968" w:rsidP="00B25968">
                  <w:pPr>
                    <w:spacing w:after="0" w:line="240" w:lineRule="auto"/>
                    <w:rPr>
                      <w:rFonts w:ascii="Verdana" w:eastAsia="Times New Roman" w:hAnsi="Verdana" w:cs="Times New Roman"/>
                      <w:sz w:val="18"/>
                      <w:szCs w:val="18"/>
                    </w:rPr>
                  </w:pPr>
                </w:p>
              </w:tc>
            </w:tr>
          </w:tbl>
          <w:p w:rsidR="00B25968" w:rsidRPr="00B25968" w:rsidRDefault="00B25968" w:rsidP="00B25968">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3562"/>
              <w:gridCol w:w="150"/>
            </w:tblGrid>
            <w:tr w:rsidR="00B25968" w:rsidRPr="00B25968">
              <w:trPr>
                <w:tblCellSpacing w:w="0" w:type="dxa"/>
              </w:trPr>
              <w:tc>
                <w:tcPr>
                  <w:tcW w:w="5000" w:type="pct"/>
                  <w:gridSpan w:val="3"/>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0"/>
                        <wp:effectExtent l="0" t="0" r="0" b="0"/>
                        <wp:docPr id="3" name="Picture 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B25968" w:rsidRPr="00B25968">
              <w:trPr>
                <w:tblCellSpacing w:w="0" w:type="dxa"/>
              </w:trPr>
              <w:tc>
                <w:tcPr>
                  <w:tcW w:w="150" w:type="dxa"/>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
                        <wp:effectExtent l="0" t="0" r="0" b="0"/>
                        <wp:docPr id="4" name="Picture 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2047875" cy="2809875"/>
                        <wp:effectExtent l="19050" t="0" r="9525" b="0"/>
                        <wp:docPr id="5" name="Picture 5" descr="http://portal.wpspublish.com/pls/portal/docs/1/368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ortal.wpspublish.com/pls/portal/docs/1/36876.JPG"/>
                                <pic:cNvPicPr>
                                  <a:picLocks noChangeAspect="1" noChangeArrowheads="1"/>
                                </pic:cNvPicPr>
                              </pic:nvPicPr>
                              <pic:blipFill>
                                <a:blip r:embed="rId5"/>
                                <a:srcRect/>
                                <a:stretch>
                                  <a:fillRect/>
                                </a:stretch>
                              </pic:blipFill>
                              <pic:spPr bwMode="auto">
                                <a:xfrm>
                                  <a:off x="0" y="0"/>
                                  <a:ext cx="2047875" cy="2809875"/>
                                </a:xfrm>
                                <a:prstGeom prst="rect">
                                  <a:avLst/>
                                </a:prstGeom>
                                <a:noFill/>
                                <a:ln w="9525">
                                  <a:noFill/>
                                  <a:miter lim="800000"/>
                                  <a:headEnd/>
                                  <a:tailEnd/>
                                </a:ln>
                              </pic:spPr>
                            </pic:pic>
                          </a:graphicData>
                        </a:graphic>
                      </wp:inline>
                    </w:drawing>
                  </w:r>
                </w:p>
              </w:tc>
              <w:tc>
                <w:tcPr>
                  <w:tcW w:w="150" w:type="dxa"/>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
                        <wp:effectExtent l="0" t="0" r="0" b="0"/>
                        <wp:docPr id="6" name="Picture 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25968" w:rsidRPr="00B25968">
              <w:trPr>
                <w:tblCellSpacing w:w="0" w:type="dxa"/>
              </w:trPr>
              <w:tc>
                <w:tcPr>
                  <w:tcW w:w="5000" w:type="pct"/>
                  <w:gridSpan w:val="3"/>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0"/>
                        <wp:effectExtent l="0" t="0" r="0" b="0"/>
                        <wp:docPr id="7" name="Picture 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25968" w:rsidRPr="00B25968" w:rsidRDefault="00B25968" w:rsidP="00B25968">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3862"/>
            </w:tblGrid>
            <w:tr w:rsidR="00B25968" w:rsidRPr="00B25968">
              <w:trPr>
                <w:tblCellSpacing w:w="0" w:type="dxa"/>
              </w:trPr>
              <w:tc>
                <w:tcPr>
                  <w:tcW w:w="0" w:type="auto"/>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p>
              </w:tc>
            </w:tr>
          </w:tbl>
          <w:p w:rsidR="00B25968" w:rsidRPr="00B25968" w:rsidRDefault="00B25968" w:rsidP="00B25968">
            <w:pPr>
              <w:spacing w:after="0" w:line="240" w:lineRule="auto"/>
              <w:rPr>
                <w:rFonts w:ascii="Verdana" w:eastAsia="Times New Roman" w:hAnsi="Verdana" w:cs="Times New Roman"/>
                <w:vanish/>
                <w:sz w:val="18"/>
                <w:szCs w:val="18"/>
              </w:rPr>
            </w:pPr>
          </w:p>
          <w:tbl>
            <w:tblPr>
              <w:tblW w:w="5000" w:type="pct"/>
              <w:tblCellSpacing w:w="0" w:type="dxa"/>
              <w:tblCellMar>
                <w:left w:w="0" w:type="dxa"/>
                <w:right w:w="0" w:type="dxa"/>
              </w:tblCellMar>
              <w:tblLook w:val="04A0"/>
            </w:tblPr>
            <w:tblGrid>
              <w:gridCol w:w="3862"/>
            </w:tblGrid>
            <w:tr w:rsidR="00B25968" w:rsidRPr="00B25968">
              <w:trPr>
                <w:tblCellSpacing w:w="0" w:type="dxa"/>
              </w:trPr>
              <w:tc>
                <w:tcPr>
                  <w:tcW w:w="0" w:type="auto"/>
                  <w:vAlign w:val="center"/>
                  <w:hideMark/>
                </w:tcPr>
                <w:p w:rsidR="00B25968" w:rsidRPr="00B25968" w:rsidRDefault="00B25968" w:rsidP="00B25968">
                  <w:pPr>
                    <w:spacing w:after="0" w:line="240" w:lineRule="auto"/>
                    <w:rPr>
                      <w:rFonts w:ascii="Verdana" w:eastAsia="Times New Roman" w:hAnsi="Verdana" w:cs="Times New Roman"/>
                      <w:sz w:val="18"/>
                      <w:szCs w:val="18"/>
                    </w:rPr>
                  </w:pPr>
                </w:p>
              </w:tc>
            </w:tr>
          </w:tbl>
          <w:p w:rsidR="00B25968" w:rsidRPr="00B25968" w:rsidRDefault="00B25968" w:rsidP="00B25968">
            <w:pPr>
              <w:spacing w:after="0" w:line="240" w:lineRule="auto"/>
              <w:rPr>
                <w:rFonts w:ascii="Verdana" w:eastAsia="Times New Roman" w:hAnsi="Verdana" w:cs="Times New Roman"/>
                <w:sz w:val="18"/>
                <w:szCs w:val="18"/>
              </w:rPr>
            </w:pPr>
          </w:p>
        </w:tc>
        <w:tc>
          <w:tcPr>
            <w:tcW w:w="5408" w:type="dxa"/>
            <w:gridSpan w:val="2"/>
            <w:hideMark/>
          </w:tcPr>
          <w:tbl>
            <w:tblPr>
              <w:tblW w:w="5000" w:type="pct"/>
              <w:tblCellSpacing w:w="0" w:type="dxa"/>
              <w:tblCellMar>
                <w:left w:w="0" w:type="dxa"/>
                <w:right w:w="0" w:type="dxa"/>
              </w:tblCellMar>
              <w:tblLook w:val="04A0"/>
            </w:tblPr>
            <w:tblGrid>
              <w:gridCol w:w="150"/>
              <w:gridCol w:w="5108"/>
              <w:gridCol w:w="150"/>
            </w:tblGrid>
            <w:tr w:rsidR="00B25968" w:rsidRPr="00B25968">
              <w:trPr>
                <w:tblCellSpacing w:w="0" w:type="dxa"/>
              </w:trPr>
              <w:tc>
                <w:tcPr>
                  <w:tcW w:w="5000" w:type="pct"/>
                  <w:gridSpan w:val="3"/>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0"/>
                        <wp:effectExtent l="0" t="0" r="0" b="0"/>
                        <wp:docPr id="8" name="Picture 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B25968" w:rsidRPr="00B25968">
              <w:trPr>
                <w:tblCellSpacing w:w="0" w:type="dxa"/>
              </w:trPr>
              <w:tc>
                <w:tcPr>
                  <w:tcW w:w="150" w:type="dxa"/>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
                        <wp:effectExtent l="0" t="0" r="0" b="0"/>
                        <wp:docPr id="9" name="Picture 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hideMark/>
                </w:tcPr>
                <w:tbl>
                  <w:tblPr>
                    <w:tblW w:w="4536" w:type="dxa"/>
                    <w:tblCellMar>
                      <w:left w:w="0" w:type="dxa"/>
                      <w:right w:w="0" w:type="dxa"/>
                    </w:tblCellMar>
                    <w:tblLook w:val="04A0"/>
                  </w:tblPr>
                  <w:tblGrid>
                    <w:gridCol w:w="1984"/>
                    <w:gridCol w:w="2552"/>
                  </w:tblGrid>
                  <w:tr w:rsidR="00B25968" w:rsidRPr="00B25968">
                    <w:trPr>
                      <w:trHeight w:val="374"/>
                    </w:trPr>
                    <w:tc>
                      <w:tcPr>
                        <w:tcW w:w="4536" w:type="dxa"/>
                        <w:gridSpan w:val="2"/>
                        <w:tcBorders>
                          <w:top w:val="nil"/>
                          <w:left w:val="nil"/>
                          <w:bottom w:val="single" w:sz="4" w:space="0" w:color="auto"/>
                          <w:right w:val="single" w:sz="4" w:space="0" w:color="auto"/>
                        </w:tcBorders>
                        <w:shd w:val="clear" w:color="auto" w:fill="636D6B"/>
                        <w:tcMar>
                          <w:top w:w="40" w:type="dxa"/>
                          <w:left w:w="40" w:type="dxa"/>
                          <w:bottom w:w="40" w:type="dxa"/>
                          <w:right w:w="40" w:type="dxa"/>
                        </w:tcMar>
                        <w:vAlign w:val="center"/>
                        <w:hideMark/>
                      </w:tcPr>
                      <w:p w:rsidR="00B25968" w:rsidRPr="00B25968" w:rsidRDefault="00B25968" w:rsidP="00B25968">
                        <w:pPr>
                          <w:spacing w:after="0" w:line="240" w:lineRule="auto"/>
                          <w:rPr>
                            <w:rFonts w:ascii="Verdana" w:eastAsia="Times New Roman" w:hAnsi="Verdana" w:cs="Arial"/>
                            <w:sz w:val="18"/>
                            <w:szCs w:val="18"/>
                          </w:rPr>
                        </w:pPr>
                        <w:r w:rsidRPr="00B25968">
                          <w:rPr>
                            <w:rFonts w:ascii="Verdana" w:eastAsia="Times New Roman" w:hAnsi="Verdana" w:cs="Arial"/>
                            <w:color w:val="FFFFFF"/>
                            <w:sz w:val="18"/>
                            <w:szCs w:val="18"/>
                          </w:rPr>
                          <w:t> </w:t>
                        </w:r>
                        <w:r w:rsidRPr="00B25968">
                          <w:rPr>
                            <w:rFonts w:ascii="Verdana" w:eastAsia="Times New Roman" w:hAnsi="Verdana" w:cs="Arial"/>
                            <w:b/>
                            <w:bCs/>
                            <w:color w:val="FFFFFF"/>
                            <w:sz w:val="18"/>
                            <w:szCs w:val="18"/>
                          </w:rPr>
                          <w:t>At a Glance</w:t>
                        </w:r>
                      </w:p>
                    </w:tc>
                  </w:tr>
                  <w:tr w:rsidR="00B25968" w:rsidRPr="00B25968">
                    <w:tc>
                      <w:tcPr>
                        <w:tcW w:w="1984" w:type="dxa"/>
                        <w:tcMar>
                          <w:top w:w="40" w:type="dxa"/>
                          <w:left w:w="40" w:type="dxa"/>
                          <w:bottom w:w="40" w:type="dxa"/>
                          <w:right w:w="40" w:type="dxa"/>
                        </w:tcMar>
                        <w:hideMark/>
                      </w:tcPr>
                      <w:p w:rsidR="00B25968" w:rsidRPr="00B25968" w:rsidRDefault="00B25968" w:rsidP="00B25968">
                        <w:pPr>
                          <w:spacing w:after="0" w:line="240" w:lineRule="auto"/>
                          <w:jc w:val="right"/>
                          <w:rPr>
                            <w:rFonts w:ascii="Verdana" w:eastAsia="Times New Roman" w:hAnsi="Verdana" w:cs="Times New Roman"/>
                            <w:sz w:val="18"/>
                            <w:szCs w:val="18"/>
                          </w:rPr>
                        </w:pPr>
                        <w:r w:rsidRPr="00B25968">
                          <w:rPr>
                            <w:rFonts w:ascii="Verdana" w:eastAsia="Times New Roman" w:hAnsi="Verdana" w:cs="Arial"/>
                            <w:b/>
                            <w:bCs/>
                            <w:sz w:val="18"/>
                            <w:szCs w:val="18"/>
                          </w:rPr>
                          <w:t>Purpose:</w:t>
                        </w:r>
                      </w:p>
                    </w:tc>
                    <w:tc>
                      <w:tcPr>
                        <w:tcW w:w="2552" w:type="dxa"/>
                        <w:tcMar>
                          <w:top w:w="40" w:type="dxa"/>
                          <w:left w:w="40" w:type="dxa"/>
                          <w:bottom w:w="40" w:type="dxa"/>
                          <w:right w:w="40" w:type="dxa"/>
                        </w:tcMar>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Tells you why specific individuals are attracted to guns and violence</w:t>
                        </w:r>
                      </w:p>
                    </w:tc>
                  </w:tr>
                  <w:tr w:rsidR="00B25968" w:rsidRPr="00B25968">
                    <w:tc>
                      <w:tcPr>
                        <w:tcW w:w="1984" w:type="dxa"/>
                        <w:tcMar>
                          <w:top w:w="40" w:type="dxa"/>
                          <w:left w:w="40" w:type="dxa"/>
                          <w:bottom w:w="40" w:type="dxa"/>
                          <w:right w:w="40" w:type="dxa"/>
                        </w:tcMar>
                        <w:hideMark/>
                      </w:tcPr>
                      <w:p w:rsidR="00B25968" w:rsidRPr="00B25968" w:rsidRDefault="00B25968" w:rsidP="00B25968">
                        <w:pPr>
                          <w:spacing w:after="0" w:line="240" w:lineRule="auto"/>
                          <w:jc w:val="right"/>
                          <w:rPr>
                            <w:rFonts w:ascii="Verdana" w:eastAsia="Times New Roman" w:hAnsi="Verdana" w:cs="Times New Roman"/>
                            <w:sz w:val="18"/>
                            <w:szCs w:val="18"/>
                          </w:rPr>
                        </w:pPr>
                        <w:r w:rsidRPr="00B25968">
                          <w:rPr>
                            <w:rFonts w:ascii="Verdana" w:eastAsia="Times New Roman" w:hAnsi="Verdana" w:cs="Arial"/>
                            <w:b/>
                            <w:bCs/>
                            <w:sz w:val="18"/>
                            <w:szCs w:val="18"/>
                          </w:rPr>
                          <w:t>Ages / Grade:</w:t>
                        </w:r>
                      </w:p>
                    </w:tc>
                    <w:tc>
                      <w:tcPr>
                        <w:tcW w:w="2552" w:type="dxa"/>
                        <w:tcMar>
                          <w:top w:w="40" w:type="dxa"/>
                          <w:left w:w="40" w:type="dxa"/>
                          <w:bottom w:w="40" w:type="dxa"/>
                          <w:right w:w="40" w:type="dxa"/>
                        </w:tcMar>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6 to 29 years</w:t>
                        </w:r>
                      </w:p>
                    </w:tc>
                  </w:tr>
                  <w:tr w:rsidR="00B25968" w:rsidRPr="00B25968">
                    <w:tc>
                      <w:tcPr>
                        <w:tcW w:w="1984" w:type="dxa"/>
                        <w:tcMar>
                          <w:top w:w="40" w:type="dxa"/>
                          <w:left w:w="40" w:type="dxa"/>
                          <w:bottom w:w="40" w:type="dxa"/>
                          <w:right w:w="40" w:type="dxa"/>
                        </w:tcMar>
                        <w:hideMark/>
                      </w:tcPr>
                      <w:p w:rsidR="00B25968" w:rsidRPr="00B25968" w:rsidRDefault="00B25968" w:rsidP="00B25968">
                        <w:pPr>
                          <w:spacing w:after="0" w:line="240" w:lineRule="auto"/>
                          <w:jc w:val="right"/>
                          <w:rPr>
                            <w:rFonts w:ascii="Verdana" w:eastAsia="Times New Roman" w:hAnsi="Verdana" w:cs="Arial"/>
                            <w:b/>
                            <w:bCs/>
                            <w:sz w:val="18"/>
                            <w:szCs w:val="18"/>
                          </w:rPr>
                        </w:pPr>
                        <w:r w:rsidRPr="00B25968">
                          <w:rPr>
                            <w:rFonts w:ascii="Verdana" w:eastAsia="Times New Roman" w:hAnsi="Verdana" w:cs="Arial"/>
                            <w:b/>
                            <w:bCs/>
                            <w:sz w:val="18"/>
                            <w:szCs w:val="18"/>
                          </w:rPr>
                          <w:t>Administration Time</w:t>
                        </w:r>
                      </w:p>
                    </w:tc>
                    <w:tc>
                      <w:tcPr>
                        <w:tcW w:w="2552" w:type="dxa"/>
                        <w:tcMar>
                          <w:top w:w="40" w:type="dxa"/>
                          <w:left w:w="40" w:type="dxa"/>
                          <w:bottom w:w="40" w:type="dxa"/>
                          <w:right w:w="40" w:type="dxa"/>
                        </w:tcMar>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5 to 10 minutes</w:t>
                        </w:r>
                      </w:p>
                    </w:tc>
                  </w:tr>
                  <w:tr w:rsidR="00B25968" w:rsidRPr="00B25968">
                    <w:tc>
                      <w:tcPr>
                        <w:tcW w:w="1984" w:type="dxa"/>
                        <w:tcMar>
                          <w:top w:w="40" w:type="dxa"/>
                          <w:left w:w="40" w:type="dxa"/>
                          <w:bottom w:w="40" w:type="dxa"/>
                          <w:right w:w="40" w:type="dxa"/>
                        </w:tcMar>
                        <w:hideMark/>
                      </w:tcPr>
                      <w:p w:rsidR="00B25968" w:rsidRPr="00B25968" w:rsidRDefault="00B25968" w:rsidP="00B25968">
                        <w:pPr>
                          <w:spacing w:after="0" w:line="240" w:lineRule="auto"/>
                          <w:jc w:val="right"/>
                          <w:rPr>
                            <w:rFonts w:ascii="Verdana" w:eastAsia="Times New Roman" w:hAnsi="Verdana" w:cs="Times New Roman"/>
                            <w:sz w:val="18"/>
                            <w:szCs w:val="18"/>
                          </w:rPr>
                        </w:pPr>
                        <w:r w:rsidRPr="00B25968">
                          <w:rPr>
                            <w:rFonts w:ascii="Verdana" w:eastAsia="Times New Roman" w:hAnsi="Verdana" w:cs="Arial"/>
                            <w:b/>
                            <w:bCs/>
                            <w:sz w:val="18"/>
                            <w:szCs w:val="18"/>
                          </w:rPr>
                          <w:t>Format:</w:t>
                        </w:r>
                      </w:p>
                    </w:tc>
                    <w:tc>
                      <w:tcPr>
                        <w:tcW w:w="2552" w:type="dxa"/>
                        <w:tcMar>
                          <w:top w:w="40" w:type="dxa"/>
                          <w:left w:w="40" w:type="dxa"/>
                          <w:bottom w:w="40" w:type="dxa"/>
                          <w:right w:w="40" w:type="dxa"/>
                        </w:tcMar>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Self-report</w:t>
                        </w:r>
                      </w:p>
                    </w:tc>
                  </w:tr>
                  <w:tr w:rsidR="00B25968" w:rsidRPr="00B25968">
                    <w:tc>
                      <w:tcPr>
                        <w:tcW w:w="1984" w:type="dxa"/>
                        <w:tcMar>
                          <w:top w:w="40" w:type="dxa"/>
                          <w:left w:w="40" w:type="dxa"/>
                          <w:bottom w:w="40" w:type="dxa"/>
                          <w:right w:w="40" w:type="dxa"/>
                        </w:tcMar>
                        <w:hideMark/>
                      </w:tcPr>
                      <w:p w:rsidR="00B25968" w:rsidRPr="00B25968" w:rsidRDefault="00B25968" w:rsidP="00B25968">
                        <w:pPr>
                          <w:spacing w:after="0" w:line="240" w:lineRule="auto"/>
                          <w:jc w:val="right"/>
                          <w:rPr>
                            <w:rFonts w:ascii="Verdana" w:eastAsia="Times New Roman" w:hAnsi="Verdana" w:cs="Arial"/>
                            <w:b/>
                            <w:bCs/>
                            <w:sz w:val="18"/>
                            <w:szCs w:val="18"/>
                          </w:rPr>
                        </w:pPr>
                        <w:r w:rsidRPr="00B25968">
                          <w:rPr>
                            <w:rFonts w:ascii="Verdana" w:eastAsia="Times New Roman" w:hAnsi="Verdana" w:cs="Arial"/>
                            <w:b/>
                            <w:bCs/>
                            <w:sz w:val="18"/>
                            <w:szCs w:val="18"/>
                          </w:rPr>
                          <w:t>Norms</w:t>
                        </w:r>
                      </w:p>
                    </w:tc>
                    <w:tc>
                      <w:tcPr>
                        <w:tcW w:w="2552" w:type="dxa"/>
                        <w:tcMar>
                          <w:top w:w="40" w:type="dxa"/>
                          <w:left w:w="40" w:type="dxa"/>
                          <w:bottom w:w="40" w:type="dxa"/>
                          <w:right w:w="40" w:type="dxa"/>
                        </w:tcMar>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Based on an age-stratified sample of 1,745 individuals in school and community settings</w:t>
                        </w:r>
                      </w:p>
                    </w:tc>
                  </w:tr>
                </w:tbl>
                <w:p w:rsidR="00B25968" w:rsidRPr="00B25968" w:rsidRDefault="00B25968" w:rsidP="00B25968">
                  <w:pPr>
                    <w:spacing w:after="0" w:line="240" w:lineRule="auto"/>
                    <w:rPr>
                      <w:rFonts w:ascii="Verdana" w:eastAsia="Times New Roman" w:hAnsi="Verdana" w:cs="Arial"/>
                      <w:color w:val="000000"/>
                      <w:sz w:val="18"/>
                      <w:szCs w:val="18"/>
                    </w:rPr>
                  </w:pPr>
                </w:p>
              </w:tc>
              <w:tc>
                <w:tcPr>
                  <w:tcW w:w="150" w:type="dxa"/>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
                        <wp:effectExtent l="0" t="0" r="0" b="0"/>
                        <wp:docPr id="10" name="Picture 1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25968" w:rsidRPr="00B25968">
              <w:trPr>
                <w:tblCellSpacing w:w="0" w:type="dxa"/>
              </w:trPr>
              <w:tc>
                <w:tcPr>
                  <w:tcW w:w="5000" w:type="pct"/>
                  <w:gridSpan w:val="3"/>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0"/>
                        <wp:effectExtent l="0" t="0" r="0" b="0"/>
                        <wp:docPr id="11" name="Picture 1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25968" w:rsidRPr="00B25968" w:rsidRDefault="00B25968" w:rsidP="00B25968">
            <w:pPr>
              <w:spacing w:after="0" w:line="240" w:lineRule="auto"/>
              <w:rPr>
                <w:rFonts w:ascii="Verdana" w:eastAsia="Times New Roman" w:hAnsi="Verdana" w:cs="Times New Roman"/>
                <w:vanish/>
                <w:sz w:val="18"/>
                <w:szCs w:val="18"/>
              </w:rPr>
            </w:pPr>
          </w:p>
          <w:tbl>
            <w:tblPr>
              <w:tblW w:w="5000" w:type="pct"/>
              <w:tblCellSpacing w:w="0" w:type="dxa"/>
              <w:shd w:val="clear" w:color="auto" w:fill="FFFFFF"/>
              <w:tblCellMar>
                <w:left w:w="0" w:type="dxa"/>
                <w:right w:w="0" w:type="dxa"/>
              </w:tblCellMar>
              <w:tblLook w:val="04A0"/>
            </w:tblPr>
            <w:tblGrid>
              <w:gridCol w:w="150"/>
              <w:gridCol w:w="5108"/>
              <w:gridCol w:w="150"/>
            </w:tblGrid>
            <w:tr w:rsidR="00B25968" w:rsidRPr="00B25968">
              <w:trPr>
                <w:tblCellSpacing w:w="0" w:type="dxa"/>
              </w:trPr>
              <w:tc>
                <w:tcPr>
                  <w:tcW w:w="5000" w:type="pct"/>
                  <w:gridSpan w:val="3"/>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0"/>
                        <wp:effectExtent l="0" t="0" r="0" b="0"/>
                        <wp:docPr id="12" name="Picture 1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r w:rsidR="00B25968" w:rsidRPr="00B25968">
              <w:trPr>
                <w:tblCellSpacing w:w="0" w:type="dxa"/>
              </w:trPr>
              <w:tc>
                <w:tcPr>
                  <w:tcW w:w="150" w:type="dxa"/>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
                        <wp:effectExtent l="0" t="0" r="0" b="0"/>
                        <wp:docPr id="13" name="Picture 1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B25968" w:rsidRPr="00B25968" w:rsidRDefault="00B25968" w:rsidP="00B25968">
                  <w:pPr>
                    <w:spacing w:after="0" w:line="240" w:lineRule="auto"/>
                    <w:rPr>
                      <w:rFonts w:ascii="Verdana" w:eastAsia="Times New Roman" w:hAnsi="Verdana" w:cs="Arial"/>
                      <w:color w:val="000000"/>
                      <w:sz w:val="18"/>
                      <w:szCs w:val="18"/>
                    </w:rPr>
                  </w:pPr>
                </w:p>
                <w:tbl>
                  <w:tblPr>
                    <w:tblW w:w="4500" w:type="dxa"/>
                    <w:tblBorders>
                      <w:bottom w:val="single" w:sz="6" w:space="0" w:color="auto"/>
                      <w:right w:val="single" w:sz="6" w:space="0" w:color="auto"/>
                    </w:tblBorders>
                    <w:shd w:val="clear" w:color="auto" w:fill="C6CF9C"/>
                    <w:tblCellMar>
                      <w:left w:w="0" w:type="dxa"/>
                      <w:right w:w="0" w:type="dxa"/>
                    </w:tblCellMar>
                    <w:tblLook w:val="04A0"/>
                  </w:tblPr>
                  <w:tblGrid>
                    <w:gridCol w:w="4500"/>
                  </w:tblGrid>
                  <w:tr w:rsidR="00B25968" w:rsidRPr="00B25968">
                    <w:tc>
                      <w:tcPr>
                        <w:tcW w:w="0" w:type="auto"/>
                        <w:tcBorders>
                          <w:top w:val="nil"/>
                          <w:left w:val="nil"/>
                          <w:bottom w:val="nil"/>
                          <w:right w:val="nil"/>
                        </w:tcBorders>
                        <w:shd w:val="clear" w:color="auto" w:fill="C6CF9C"/>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b/>
                            <w:bCs/>
                            <w:color w:val="FFFFFF"/>
                            <w:sz w:val="18"/>
                            <w:szCs w:val="18"/>
                          </w:rPr>
                          <w:t xml:space="preserve">  </w:t>
                        </w:r>
                        <w:r w:rsidRPr="00B25968">
                          <w:rPr>
                            <w:rFonts w:ascii="Verdana" w:eastAsia="Times New Roman" w:hAnsi="Verdana" w:cs="Times New Roman"/>
                            <w:b/>
                            <w:bCs/>
                            <w:color w:val="636D6B"/>
                            <w:sz w:val="18"/>
                            <w:szCs w:val="18"/>
                          </w:rPr>
                          <w:t>Related Products</w:t>
                        </w:r>
                      </w:p>
                    </w:tc>
                  </w:tr>
                </w:tbl>
                <w:p w:rsidR="00B25968" w:rsidRPr="00B25968" w:rsidRDefault="00B25968" w:rsidP="00B25968">
                  <w:pPr>
                    <w:spacing w:after="0" w:line="240" w:lineRule="auto"/>
                    <w:rPr>
                      <w:rFonts w:ascii="Verdana" w:eastAsia="Times New Roman" w:hAnsi="Verdana" w:cs="Arial"/>
                      <w:color w:val="000000"/>
                      <w:sz w:val="18"/>
                      <w:szCs w:val="18"/>
                    </w:rPr>
                  </w:pPr>
                </w:p>
              </w:tc>
              <w:tc>
                <w:tcPr>
                  <w:tcW w:w="150" w:type="dxa"/>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
                        <wp:effectExtent l="0" t="0" r="0" b="0"/>
                        <wp:docPr id="14" name="Picture 1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25968" w:rsidRPr="00B25968">
              <w:trPr>
                <w:tblCellSpacing w:w="0" w:type="dxa"/>
              </w:trPr>
              <w:tc>
                <w:tcPr>
                  <w:tcW w:w="5000" w:type="pct"/>
                  <w:gridSpan w:val="3"/>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47625" cy="47625"/>
                        <wp:effectExtent l="0" t="0" r="0" b="0"/>
                        <wp:docPr id="15" name="Picture 15"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B25968" w:rsidRPr="00B25968">
              <w:trPr>
                <w:tblCellSpacing w:w="0" w:type="dxa"/>
              </w:trPr>
              <w:tc>
                <w:tcPr>
                  <w:tcW w:w="150" w:type="dxa"/>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
                        <wp:effectExtent l="0" t="0" r="0" b="0"/>
                        <wp:docPr id="16" name="Picture 16"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B25968" w:rsidRPr="00B25968" w:rsidRDefault="00B25968" w:rsidP="00B25968">
                  <w:pPr>
                    <w:spacing w:after="0" w:line="240" w:lineRule="auto"/>
                    <w:rPr>
                      <w:rFonts w:ascii="Verdana" w:eastAsia="Times New Roman" w:hAnsi="Verdana" w:cs="Times New Roman"/>
                      <w:sz w:val="18"/>
                      <w:szCs w:val="18"/>
                    </w:rPr>
                  </w:pPr>
                  <w:hyperlink r:id="rId6" w:history="1">
                    <w:r w:rsidRPr="00B25968">
                      <w:rPr>
                        <w:rFonts w:ascii="Verdana" w:eastAsia="Times New Roman" w:hAnsi="Verdana" w:cs="Arial"/>
                        <w:color w:val="003063"/>
                        <w:sz w:val="18"/>
                        <w:szCs w:val="18"/>
                        <w:u w:val="single"/>
                      </w:rPr>
                      <w:t>Aggression Questionnaire (AQ)</w:t>
                    </w:r>
                  </w:hyperlink>
                </w:p>
              </w:tc>
              <w:tc>
                <w:tcPr>
                  <w:tcW w:w="150" w:type="dxa"/>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
                        <wp:effectExtent l="0" t="0" r="0" b="0"/>
                        <wp:docPr id="17" name="Picture 17"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25968" w:rsidRPr="00B25968">
              <w:trPr>
                <w:tblCellSpacing w:w="0" w:type="dxa"/>
              </w:trPr>
              <w:tc>
                <w:tcPr>
                  <w:tcW w:w="5000" w:type="pct"/>
                  <w:gridSpan w:val="3"/>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47625" cy="47625"/>
                        <wp:effectExtent l="0" t="0" r="0" b="0"/>
                        <wp:docPr id="18" name="Picture 18"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B25968" w:rsidRPr="00B25968">
              <w:trPr>
                <w:tblCellSpacing w:w="0" w:type="dxa"/>
              </w:trPr>
              <w:tc>
                <w:tcPr>
                  <w:tcW w:w="150" w:type="dxa"/>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
                        <wp:effectExtent l="0" t="0" r="0" b="0"/>
                        <wp:docPr id="19" name="Picture 19"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B25968" w:rsidRPr="00B25968" w:rsidRDefault="00B25968" w:rsidP="00B25968">
                  <w:pPr>
                    <w:spacing w:after="0" w:line="240" w:lineRule="auto"/>
                    <w:rPr>
                      <w:rFonts w:ascii="Verdana" w:eastAsia="Times New Roman" w:hAnsi="Verdana" w:cs="Times New Roman"/>
                      <w:sz w:val="18"/>
                      <w:szCs w:val="18"/>
                    </w:rPr>
                  </w:pPr>
                  <w:hyperlink r:id="rId7" w:history="1">
                    <w:r w:rsidRPr="00B25968">
                      <w:rPr>
                        <w:rFonts w:ascii="Verdana" w:eastAsia="Times New Roman" w:hAnsi="Verdana" w:cs="Arial"/>
                        <w:color w:val="003063"/>
                        <w:sz w:val="18"/>
                        <w:szCs w:val="18"/>
                        <w:u w:val="single"/>
                      </w:rPr>
                      <w:t>Children's Inventory of Anger (</w:t>
                    </w:r>
                    <w:proofErr w:type="spellStart"/>
                    <w:r w:rsidRPr="00B25968">
                      <w:rPr>
                        <w:rFonts w:ascii="Verdana" w:eastAsia="Times New Roman" w:hAnsi="Verdana" w:cs="Arial"/>
                        <w:color w:val="003063"/>
                        <w:sz w:val="18"/>
                        <w:szCs w:val="18"/>
                        <w:u w:val="single"/>
                      </w:rPr>
                      <w:t>ChIA</w:t>
                    </w:r>
                    <w:proofErr w:type="spellEnd"/>
                    <w:r w:rsidRPr="00B25968">
                      <w:rPr>
                        <w:rFonts w:ascii="Verdana" w:eastAsia="Times New Roman" w:hAnsi="Verdana" w:cs="Arial"/>
                        <w:color w:val="003063"/>
                        <w:sz w:val="18"/>
                        <w:szCs w:val="18"/>
                        <w:u w:val="single"/>
                      </w:rPr>
                      <w:t>)</w:t>
                    </w:r>
                  </w:hyperlink>
                </w:p>
              </w:tc>
              <w:tc>
                <w:tcPr>
                  <w:tcW w:w="150" w:type="dxa"/>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
                        <wp:effectExtent l="0" t="0" r="0" b="0"/>
                        <wp:docPr id="20" name="Picture 20"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25968" w:rsidRPr="00B25968">
              <w:trPr>
                <w:tblCellSpacing w:w="0" w:type="dxa"/>
              </w:trPr>
              <w:tc>
                <w:tcPr>
                  <w:tcW w:w="5000" w:type="pct"/>
                  <w:gridSpan w:val="3"/>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47625" cy="47625"/>
                        <wp:effectExtent l="0" t="0" r="0" b="0"/>
                        <wp:docPr id="21" name="Picture 21"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ortal.wpspublish.com/images/pobtrans.gif"/>
                                <pic:cNvPicPr>
                                  <a:picLocks noChangeAspect="1" noChangeArrowheads="1"/>
                                </pic:cNvPicPr>
                              </pic:nvPicPr>
                              <pic:blipFill>
                                <a:blip r:embed="rId4"/>
                                <a:srcRect/>
                                <a:stretch>
                                  <a:fillRect/>
                                </a:stretch>
                              </pic:blipFill>
                              <pic:spPr bwMode="auto">
                                <a:xfrm>
                                  <a:off x="0" y="0"/>
                                  <a:ext cx="47625" cy="47625"/>
                                </a:xfrm>
                                <a:prstGeom prst="rect">
                                  <a:avLst/>
                                </a:prstGeom>
                                <a:noFill/>
                                <a:ln w="9525">
                                  <a:noFill/>
                                  <a:miter lim="800000"/>
                                  <a:headEnd/>
                                  <a:tailEnd/>
                                </a:ln>
                              </pic:spPr>
                            </pic:pic>
                          </a:graphicData>
                        </a:graphic>
                      </wp:inline>
                    </w:drawing>
                  </w:r>
                </w:p>
              </w:tc>
            </w:tr>
            <w:tr w:rsidR="00B25968" w:rsidRPr="00B25968">
              <w:trPr>
                <w:tblCellSpacing w:w="0" w:type="dxa"/>
              </w:trPr>
              <w:tc>
                <w:tcPr>
                  <w:tcW w:w="150" w:type="dxa"/>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
                        <wp:effectExtent l="0" t="0" r="0" b="0"/>
                        <wp:docPr id="22" name="Picture 22"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5000" w:type="pct"/>
                  <w:shd w:val="clear" w:color="auto" w:fill="FFFFFF"/>
                  <w:hideMark/>
                </w:tcPr>
                <w:p w:rsidR="00B25968" w:rsidRPr="00B25968" w:rsidRDefault="00B25968" w:rsidP="00B25968">
                  <w:pPr>
                    <w:spacing w:after="0" w:line="240" w:lineRule="auto"/>
                    <w:rPr>
                      <w:rFonts w:ascii="Verdana" w:eastAsia="Times New Roman" w:hAnsi="Verdana" w:cs="Times New Roman"/>
                      <w:sz w:val="18"/>
                      <w:szCs w:val="18"/>
                    </w:rPr>
                  </w:pPr>
                  <w:hyperlink r:id="rId8" w:history="1">
                    <w:proofErr w:type="spellStart"/>
                    <w:r w:rsidRPr="00B25968">
                      <w:rPr>
                        <w:rFonts w:ascii="Verdana" w:eastAsia="Times New Roman" w:hAnsi="Verdana" w:cs="Arial"/>
                        <w:color w:val="003063"/>
                        <w:sz w:val="18"/>
                        <w:szCs w:val="18"/>
                        <w:u w:val="single"/>
                      </w:rPr>
                      <w:t>Novaco</w:t>
                    </w:r>
                    <w:proofErr w:type="spellEnd"/>
                    <w:r w:rsidRPr="00B25968">
                      <w:rPr>
                        <w:rFonts w:ascii="Verdana" w:eastAsia="Times New Roman" w:hAnsi="Verdana" w:cs="Arial"/>
                        <w:color w:val="003063"/>
                        <w:sz w:val="18"/>
                        <w:szCs w:val="18"/>
                        <w:u w:val="single"/>
                      </w:rPr>
                      <w:t xml:space="preserve"> Anger Scale and Provocation Inventory (NAS-PI)</w:t>
                    </w:r>
                  </w:hyperlink>
                </w:p>
              </w:tc>
              <w:tc>
                <w:tcPr>
                  <w:tcW w:w="150" w:type="dxa"/>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
                        <wp:effectExtent l="0" t="0" r="0" b="0"/>
                        <wp:docPr id="23" name="Picture 23"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ortal.wpspublish.com/images/pobtrans.gif"/>
                                <pic:cNvPicPr>
                                  <a:picLocks noChangeAspect="1" noChangeArrowheads="1"/>
                                </pic:cNvPicPr>
                              </pic:nvPicPr>
                              <pic:blipFill>
                                <a:blip r:embed="rId4"/>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r>
            <w:tr w:rsidR="00B25968" w:rsidRPr="00B25968">
              <w:trPr>
                <w:tblCellSpacing w:w="0" w:type="dxa"/>
              </w:trPr>
              <w:tc>
                <w:tcPr>
                  <w:tcW w:w="5000" w:type="pct"/>
                  <w:gridSpan w:val="3"/>
                  <w:shd w:val="clear" w:color="auto" w:fill="FFFFFF"/>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noProof/>
                      <w:sz w:val="18"/>
                      <w:szCs w:val="18"/>
                    </w:rPr>
                    <w:drawing>
                      <wp:inline distT="0" distB="0" distL="0" distR="0">
                        <wp:extent cx="95250" cy="95250"/>
                        <wp:effectExtent l="0" t="0" r="0" b="0"/>
                        <wp:docPr id="24" name="Picture 24" descr="http://portal.wpspublish.com/images/pobtran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portal.wpspublish.com/images/pobtrans.gif"/>
                                <pic:cNvPicPr>
                                  <a:picLocks noChangeAspect="1" noChangeArrowheads="1"/>
                                </pic:cNvPicPr>
                              </pic:nvPicPr>
                              <pic:blipFill>
                                <a:blip r:embed="rId4"/>
                                <a:srcRect/>
                                <a:stretch>
                                  <a:fillRect/>
                                </a:stretch>
                              </pic:blipFill>
                              <pic:spPr bwMode="auto">
                                <a:xfrm>
                                  <a:off x="0" y="0"/>
                                  <a:ext cx="95250" cy="95250"/>
                                </a:xfrm>
                                <a:prstGeom prst="rect">
                                  <a:avLst/>
                                </a:prstGeom>
                                <a:noFill/>
                                <a:ln w="9525">
                                  <a:noFill/>
                                  <a:miter lim="800000"/>
                                  <a:headEnd/>
                                  <a:tailEnd/>
                                </a:ln>
                              </pic:spPr>
                            </pic:pic>
                          </a:graphicData>
                        </a:graphic>
                      </wp:inline>
                    </w:drawing>
                  </w:r>
                </w:p>
              </w:tc>
            </w:tr>
          </w:tbl>
          <w:p w:rsidR="00B25968" w:rsidRPr="00B25968" w:rsidRDefault="00B25968" w:rsidP="00B25968">
            <w:pPr>
              <w:spacing w:after="0" w:line="240" w:lineRule="auto"/>
              <w:rPr>
                <w:rFonts w:ascii="Verdana" w:eastAsia="Times New Roman" w:hAnsi="Verdana" w:cs="Times New Roman"/>
                <w:sz w:val="18"/>
                <w:szCs w:val="18"/>
              </w:rPr>
            </w:pPr>
          </w:p>
        </w:tc>
      </w:tr>
      <w:tr w:rsidR="00B25968" w:rsidRPr="00B25968" w:rsidTr="00B25968">
        <w:trPr>
          <w:gridAfter w:val="1"/>
          <w:wAfter w:w="34" w:type="dxa"/>
          <w:tblCellSpacing w:w="0" w:type="dxa"/>
        </w:trPr>
        <w:tc>
          <w:tcPr>
            <w:tcW w:w="9236" w:type="dxa"/>
            <w:gridSpan w:val="3"/>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 xml:space="preserve">If you want to change violent behavior, it helps to </w:t>
            </w:r>
            <w:proofErr w:type="spellStart"/>
            <w:r w:rsidRPr="00B25968">
              <w:rPr>
                <w:rFonts w:ascii="Verdana" w:eastAsia="Times New Roman" w:hAnsi="Verdana" w:cs="Arial"/>
                <w:sz w:val="18"/>
                <w:szCs w:val="18"/>
              </w:rPr>
              <w:t>knwo</w:t>
            </w:r>
            <w:proofErr w:type="spellEnd"/>
            <w:r w:rsidRPr="00B25968">
              <w:rPr>
                <w:rFonts w:ascii="Verdana" w:eastAsia="Times New Roman" w:hAnsi="Verdana" w:cs="Arial"/>
                <w:sz w:val="18"/>
                <w:szCs w:val="18"/>
              </w:rPr>
              <w:t xml:space="preserve"> what's </w:t>
            </w:r>
            <w:proofErr w:type="spellStart"/>
            <w:r w:rsidRPr="00B25968">
              <w:rPr>
                <w:rFonts w:ascii="Verdana" w:eastAsia="Times New Roman" w:hAnsi="Verdana" w:cs="Arial"/>
                <w:sz w:val="18"/>
                <w:szCs w:val="18"/>
              </w:rPr>
              <w:t>montivating</w:t>
            </w:r>
            <w:proofErr w:type="spellEnd"/>
            <w:r w:rsidRPr="00B25968">
              <w:rPr>
                <w:rFonts w:ascii="Verdana" w:eastAsia="Times New Roman" w:hAnsi="Verdana" w:cs="Arial"/>
                <w:sz w:val="18"/>
                <w:szCs w:val="18"/>
              </w:rPr>
              <w:t xml:space="preserve"> it.</w:t>
            </w:r>
          </w:p>
        </w:tc>
      </w:tr>
      <w:tr w:rsidR="00B25968" w:rsidRPr="00B25968" w:rsidTr="00B25968">
        <w:trPr>
          <w:gridAfter w:val="1"/>
          <w:wAfter w:w="34" w:type="dxa"/>
          <w:tblCellSpacing w:w="0" w:type="dxa"/>
        </w:trPr>
        <w:tc>
          <w:tcPr>
            <w:tcW w:w="9236" w:type="dxa"/>
            <w:gridSpan w:val="3"/>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 xml:space="preserve">Now there's a quick and reliable way to find out whether and why specific individuals are attracted to guns and violence. The AGVQ measures the attitudes of young people, ages 6 to 29, toward guns, physical aggression, and interpersonal conflict. Composed of just 26 items and written at a third-grade reading level, this unique self-report inventory can be administered in just 5 to 10 minutes. </w:t>
            </w:r>
          </w:p>
        </w:tc>
      </w:tr>
      <w:tr w:rsidR="00B25968" w:rsidRPr="00B25968" w:rsidTr="00B25968">
        <w:trPr>
          <w:gridAfter w:val="1"/>
          <w:wAfter w:w="34" w:type="dxa"/>
          <w:tblCellSpacing w:w="0" w:type="dxa"/>
        </w:trPr>
        <w:tc>
          <w:tcPr>
            <w:tcW w:w="9236" w:type="dxa"/>
            <w:gridSpan w:val="3"/>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AGVQ items focus on violence related issues relevant to young people, with an emphasis on guns. The test form (titled "What's Your Opinion?") asks individuals to choose one of three response options to indicate extent of agreement with each item.</w:t>
            </w:r>
          </w:p>
        </w:tc>
      </w:tr>
      <w:tr w:rsidR="00B25968" w:rsidRPr="00B25968" w:rsidTr="00B25968">
        <w:trPr>
          <w:gridAfter w:val="1"/>
          <w:wAfter w:w="34" w:type="dxa"/>
          <w:tblCellSpacing w:w="0" w:type="dxa"/>
        </w:trPr>
        <w:tc>
          <w:tcPr>
            <w:tcW w:w="9236" w:type="dxa"/>
            <w:gridSpan w:val="3"/>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The test yields a Total Score, plus scores for the following subscales:</w:t>
            </w:r>
          </w:p>
        </w:tc>
      </w:tr>
      <w:tr w:rsidR="00B25968" w:rsidRPr="00B25968" w:rsidTr="00B25968">
        <w:trPr>
          <w:gridAfter w:val="1"/>
          <w:wAfter w:w="34" w:type="dxa"/>
          <w:tblCellSpacing w:w="0" w:type="dxa"/>
        </w:trPr>
        <w:tc>
          <w:tcPr>
            <w:tcW w:w="9236" w:type="dxa"/>
            <w:gridSpan w:val="3"/>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sz w:val="18"/>
                <w:szCs w:val="18"/>
              </w:rPr>
              <w:t> </w:t>
            </w:r>
          </w:p>
        </w:tc>
      </w:tr>
      <w:tr w:rsidR="00B25968" w:rsidRPr="00B25968" w:rsidTr="00B25968">
        <w:trPr>
          <w:gridAfter w:val="1"/>
          <w:wAfter w:w="34" w:type="dxa"/>
          <w:tblCellSpacing w:w="0" w:type="dxa"/>
        </w:trPr>
        <w:tc>
          <w:tcPr>
            <w:tcW w:w="9236" w:type="dxa"/>
            <w:gridSpan w:val="3"/>
            <w:hideMark/>
          </w:tcPr>
          <w:p w:rsidR="00B25968" w:rsidRPr="00B25968" w:rsidRDefault="00B25968" w:rsidP="00B25968">
            <w:pPr>
              <w:spacing w:after="0" w:line="240" w:lineRule="auto"/>
              <w:rPr>
                <w:rFonts w:ascii="Verdana" w:eastAsia="Times New Roman" w:hAnsi="Verdana" w:cs="Times New Roman"/>
                <w:sz w:val="18"/>
                <w:szCs w:val="18"/>
              </w:rPr>
            </w:pPr>
            <w:r>
              <w:rPr>
                <w:rFonts w:ascii="Verdana" w:eastAsia="Times New Roman" w:hAnsi="Verdana" w:cs="Arial"/>
                <w:b/>
                <w:bCs/>
                <w:sz w:val="18"/>
                <w:szCs w:val="18"/>
              </w:rPr>
              <w:t xml:space="preserve">    </w:t>
            </w:r>
            <w:r w:rsidRPr="00B25968">
              <w:rPr>
                <w:rFonts w:ascii="Verdana" w:eastAsia="Times New Roman" w:hAnsi="Verdana" w:cs="Arial"/>
                <w:b/>
                <w:bCs/>
                <w:sz w:val="18"/>
                <w:szCs w:val="18"/>
              </w:rPr>
              <w:t>Aggressive Response to Shame</w:t>
            </w:r>
          </w:p>
        </w:tc>
      </w:tr>
      <w:tr w:rsidR="00B25968" w:rsidRPr="00B25968" w:rsidTr="00B25968">
        <w:trPr>
          <w:gridAfter w:val="1"/>
          <w:wAfter w:w="34" w:type="dxa"/>
          <w:tblCellSpacing w:w="0" w:type="dxa"/>
        </w:trPr>
        <w:tc>
          <w:tcPr>
            <w:tcW w:w="316" w:type="dxa"/>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sz w:val="18"/>
                <w:szCs w:val="18"/>
              </w:rPr>
              <w:t> </w:t>
            </w:r>
          </w:p>
        </w:tc>
        <w:tc>
          <w:tcPr>
            <w:tcW w:w="8920" w:type="dxa"/>
            <w:gridSpan w:val="2"/>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Sensitivity to disrespect from others and a belief that violence repairs damage to self-esteem</w:t>
            </w:r>
          </w:p>
        </w:tc>
      </w:tr>
      <w:tr w:rsidR="00B25968" w:rsidRPr="00B25968" w:rsidTr="00B25968">
        <w:trPr>
          <w:gridAfter w:val="1"/>
          <w:wAfter w:w="34" w:type="dxa"/>
          <w:tblCellSpacing w:w="0" w:type="dxa"/>
        </w:trPr>
        <w:tc>
          <w:tcPr>
            <w:tcW w:w="9236" w:type="dxa"/>
            <w:gridSpan w:val="3"/>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    </w:t>
            </w:r>
            <w:r w:rsidRPr="00B25968">
              <w:rPr>
                <w:rFonts w:ascii="Verdana" w:eastAsia="Times New Roman" w:hAnsi="Verdana" w:cs="Arial"/>
                <w:b/>
                <w:bCs/>
                <w:sz w:val="18"/>
                <w:szCs w:val="18"/>
              </w:rPr>
              <w:t>Comfort With Aggression</w:t>
            </w:r>
          </w:p>
        </w:tc>
      </w:tr>
      <w:tr w:rsidR="00B25968" w:rsidRPr="00B25968" w:rsidTr="00B25968">
        <w:trPr>
          <w:gridAfter w:val="1"/>
          <w:wAfter w:w="34" w:type="dxa"/>
          <w:tblCellSpacing w:w="0" w:type="dxa"/>
        </w:trPr>
        <w:tc>
          <w:tcPr>
            <w:tcW w:w="316" w:type="dxa"/>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sz w:val="18"/>
                <w:szCs w:val="18"/>
              </w:rPr>
              <w:t> </w:t>
            </w:r>
          </w:p>
        </w:tc>
        <w:tc>
          <w:tcPr>
            <w:tcW w:w="8920" w:type="dxa"/>
            <w:gridSpan w:val="2"/>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Acceptance of violence as part of everyday life</w:t>
            </w:r>
          </w:p>
        </w:tc>
      </w:tr>
      <w:tr w:rsidR="00B25968" w:rsidRPr="00B25968" w:rsidTr="00B25968">
        <w:trPr>
          <w:gridAfter w:val="1"/>
          <w:wAfter w:w="34" w:type="dxa"/>
          <w:tblCellSpacing w:w="0" w:type="dxa"/>
        </w:trPr>
        <w:tc>
          <w:tcPr>
            <w:tcW w:w="9236" w:type="dxa"/>
            <w:gridSpan w:val="3"/>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    </w:t>
            </w:r>
            <w:r w:rsidRPr="00B25968">
              <w:rPr>
                <w:rFonts w:ascii="Verdana" w:eastAsia="Times New Roman" w:hAnsi="Verdana" w:cs="Arial"/>
                <w:b/>
                <w:bCs/>
                <w:sz w:val="18"/>
                <w:szCs w:val="18"/>
              </w:rPr>
              <w:t>Excitement</w:t>
            </w:r>
          </w:p>
        </w:tc>
      </w:tr>
      <w:tr w:rsidR="00B25968" w:rsidRPr="00B25968" w:rsidTr="00B25968">
        <w:trPr>
          <w:gridAfter w:val="1"/>
          <w:wAfter w:w="34" w:type="dxa"/>
          <w:tblCellSpacing w:w="0" w:type="dxa"/>
        </w:trPr>
        <w:tc>
          <w:tcPr>
            <w:tcW w:w="316" w:type="dxa"/>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sz w:val="18"/>
                <w:szCs w:val="18"/>
              </w:rPr>
              <w:t> </w:t>
            </w:r>
          </w:p>
        </w:tc>
        <w:tc>
          <w:tcPr>
            <w:tcW w:w="8920" w:type="dxa"/>
            <w:gridSpan w:val="2"/>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The feeling that guns are intrinsically exciting, stimulating, and fun</w:t>
            </w:r>
          </w:p>
        </w:tc>
      </w:tr>
      <w:tr w:rsidR="00B25968" w:rsidRPr="00B25968" w:rsidTr="00B25968">
        <w:trPr>
          <w:gridAfter w:val="1"/>
          <w:wAfter w:w="34" w:type="dxa"/>
          <w:tblCellSpacing w:w="0" w:type="dxa"/>
        </w:trPr>
        <w:tc>
          <w:tcPr>
            <w:tcW w:w="9236" w:type="dxa"/>
            <w:gridSpan w:val="3"/>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b/>
                <w:bCs/>
                <w:sz w:val="18"/>
                <w:szCs w:val="18"/>
              </w:rPr>
              <w:t>    Power/Safety</w:t>
            </w:r>
          </w:p>
        </w:tc>
      </w:tr>
      <w:tr w:rsidR="00B25968" w:rsidRPr="00B25968" w:rsidTr="00B25968">
        <w:trPr>
          <w:gridAfter w:val="1"/>
          <w:wAfter w:w="34" w:type="dxa"/>
          <w:tblCellSpacing w:w="0" w:type="dxa"/>
        </w:trPr>
        <w:tc>
          <w:tcPr>
            <w:tcW w:w="316" w:type="dxa"/>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sz w:val="18"/>
                <w:szCs w:val="18"/>
              </w:rPr>
              <w:t> </w:t>
            </w:r>
          </w:p>
        </w:tc>
        <w:tc>
          <w:tcPr>
            <w:tcW w:w="8920" w:type="dxa"/>
            <w:gridSpan w:val="2"/>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The view that guns and violence are a means of preserving personal safety and experiencing feelings of power</w:t>
            </w:r>
          </w:p>
        </w:tc>
      </w:tr>
      <w:tr w:rsidR="00B25968" w:rsidRPr="00B25968" w:rsidTr="00B25968">
        <w:trPr>
          <w:gridAfter w:val="1"/>
          <w:wAfter w:w="34" w:type="dxa"/>
          <w:tblCellSpacing w:w="0" w:type="dxa"/>
        </w:trPr>
        <w:tc>
          <w:tcPr>
            <w:tcW w:w="9236" w:type="dxa"/>
            <w:gridSpan w:val="3"/>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Times New Roman"/>
                <w:sz w:val="18"/>
                <w:szCs w:val="18"/>
              </w:rPr>
              <w:t> </w:t>
            </w:r>
          </w:p>
        </w:tc>
      </w:tr>
      <w:tr w:rsidR="00B25968" w:rsidRPr="00B25968" w:rsidTr="00B25968">
        <w:trPr>
          <w:gridAfter w:val="1"/>
          <w:wAfter w:w="34" w:type="dxa"/>
          <w:tblCellSpacing w:w="0" w:type="dxa"/>
        </w:trPr>
        <w:tc>
          <w:tcPr>
            <w:tcW w:w="9236" w:type="dxa"/>
            <w:gridSpan w:val="3"/>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 xml:space="preserve">In addition, a validity scale alerts you to inconsistent responding. Norms are based on a nationally representative, age-stratified sample of 1,745 individuals in school and community settings. </w:t>
            </w:r>
          </w:p>
        </w:tc>
      </w:tr>
      <w:tr w:rsidR="00B25968" w:rsidRPr="00B25968" w:rsidTr="00B25968">
        <w:trPr>
          <w:gridAfter w:val="1"/>
          <w:wAfter w:w="34" w:type="dxa"/>
          <w:tblCellSpacing w:w="0" w:type="dxa"/>
        </w:trPr>
        <w:tc>
          <w:tcPr>
            <w:tcW w:w="9236" w:type="dxa"/>
            <w:gridSpan w:val="3"/>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 xml:space="preserve">AGVQ scores correlate with student and teacher reports of aggressive behavior and interpersonal problems. The AGVQ complements instruments that focus on behavior by providing information about internal processes underlying aggression, as well as violence potential that has not yet been manifested in behavior. </w:t>
            </w:r>
          </w:p>
        </w:tc>
      </w:tr>
      <w:tr w:rsidR="00B25968" w:rsidRPr="00B25968" w:rsidTr="00B25968">
        <w:trPr>
          <w:gridAfter w:val="1"/>
          <w:wAfter w:w="34" w:type="dxa"/>
          <w:tblCellSpacing w:w="0" w:type="dxa"/>
        </w:trPr>
        <w:tc>
          <w:tcPr>
            <w:tcW w:w="9236" w:type="dxa"/>
            <w:gridSpan w:val="3"/>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 xml:space="preserve">For clinicians who need a measure of aggressive behavior, the AGVQ Kit includes the </w:t>
            </w:r>
            <w:r w:rsidRPr="00B25968">
              <w:rPr>
                <w:rFonts w:ascii="Verdana" w:eastAsia="Times New Roman" w:hAnsi="Verdana" w:cs="Arial"/>
                <w:i/>
                <w:iCs/>
                <w:sz w:val="18"/>
                <w:szCs w:val="18"/>
              </w:rPr>
              <w:t>Aggressive Behavior Checklist</w:t>
            </w:r>
            <w:r w:rsidRPr="00B25968">
              <w:rPr>
                <w:rFonts w:ascii="Verdana" w:eastAsia="Times New Roman" w:hAnsi="Verdana" w:cs="Arial"/>
                <w:sz w:val="18"/>
                <w:szCs w:val="18"/>
              </w:rPr>
              <w:t xml:space="preserve"> (ABC), which provides both student and teacher ratings of actual violent behavior. The ABC offers a precise, quantitative assessment of aggressive behavior than can supplement referral information and informal observation.</w:t>
            </w:r>
          </w:p>
        </w:tc>
      </w:tr>
      <w:tr w:rsidR="00B25968" w:rsidRPr="00B25968" w:rsidTr="00B25968">
        <w:trPr>
          <w:gridAfter w:val="1"/>
          <w:wAfter w:w="34" w:type="dxa"/>
          <w:tblCellSpacing w:w="0" w:type="dxa"/>
        </w:trPr>
        <w:tc>
          <w:tcPr>
            <w:tcW w:w="9236" w:type="dxa"/>
            <w:gridSpan w:val="3"/>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t xml:space="preserve">Used in mental health, juvenile justice, and school settings, the AGVQ allows you to accurately target </w:t>
            </w:r>
            <w:r w:rsidRPr="00B25968">
              <w:rPr>
                <w:rFonts w:ascii="Verdana" w:eastAsia="Times New Roman" w:hAnsi="Verdana" w:cs="Arial"/>
                <w:sz w:val="18"/>
                <w:szCs w:val="18"/>
              </w:rPr>
              <w:lastRenderedPageBreak/>
              <w:t xml:space="preserve">intervention and prevention programs. By assessing attitudes, you can determine what kind of cognitive and behavioral training should be implemented. And, following intervention, the AGVQ serves as an excellent measure of program effectiveness. Using the scoring CD for program evaluation, you can obtain raw scores and </w:t>
            </w:r>
            <w:r w:rsidRPr="00B25968">
              <w:rPr>
                <w:rFonts w:ascii="Verdana" w:eastAsia="Times New Roman" w:hAnsi="Verdana" w:cs="Arial"/>
                <w:i/>
                <w:iCs/>
                <w:sz w:val="18"/>
                <w:szCs w:val="18"/>
              </w:rPr>
              <w:t>T-scores</w:t>
            </w:r>
            <w:r w:rsidRPr="00B25968">
              <w:rPr>
                <w:rFonts w:ascii="Verdana" w:eastAsia="Times New Roman" w:hAnsi="Verdana" w:cs="Arial"/>
                <w:sz w:val="18"/>
                <w:szCs w:val="18"/>
              </w:rPr>
              <w:t xml:space="preserve"> in a form that can be exported for statistical analysis.</w:t>
            </w:r>
          </w:p>
        </w:tc>
      </w:tr>
      <w:tr w:rsidR="00B25968" w:rsidRPr="00B25968" w:rsidTr="00B25968">
        <w:trPr>
          <w:gridAfter w:val="1"/>
          <w:wAfter w:w="34" w:type="dxa"/>
          <w:tblCellSpacing w:w="0" w:type="dxa"/>
        </w:trPr>
        <w:tc>
          <w:tcPr>
            <w:tcW w:w="9236" w:type="dxa"/>
            <w:gridSpan w:val="3"/>
            <w:vAlign w:val="center"/>
            <w:hideMark/>
          </w:tcPr>
          <w:p w:rsidR="00B25968" w:rsidRPr="00B25968" w:rsidRDefault="00B25968" w:rsidP="00B25968">
            <w:pPr>
              <w:spacing w:after="0" w:line="240" w:lineRule="auto"/>
              <w:rPr>
                <w:rFonts w:ascii="Verdana" w:eastAsia="Times New Roman" w:hAnsi="Verdana" w:cs="Times New Roman"/>
                <w:sz w:val="18"/>
                <w:szCs w:val="18"/>
              </w:rPr>
            </w:pPr>
            <w:r w:rsidRPr="00B25968">
              <w:rPr>
                <w:rFonts w:ascii="Verdana" w:eastAsia="Times New Roman" w:hAnsi="Verdana" w:cs="Arial"/>
                <w:sz w:val="18"/>
                <w:szCs w:val="18"/>
              </w:rPr>
              <w:lastRenderedPageBreak/>
              <w:t xml:space="preserve">Quick and inexpensive, the AGVQ is an important addition to any program intended to reduce violence. </w:t>
            </w:r>
          </w:p>
        </w:tc>
      </w:tr>
    </w:tbl>
    <w:p w:rsidR="00B25968" w:rsidRDefault="00B25968" w:rsidP="00B25968">
      <w:pPr>
        <w:spacing w:after="0"/>
        <w:rPr>
          <w:rFonts w:ascii="Verdana" w:hAnsi="Verdana"/>
          <w:sz w:val="18"/>
          <w:szCs w:val="18"/>
        </w:rPr>
      </w:pPr>
    </w:p>
    <w:p w:rsidR="00B25968" w:rsidRPr="00B25968" w:rsidRDefault="00B25968" w:rsidP="00B25968">
      <w:pPr>
        <w:spacing w:after="0"/>
        <w:rPr>
          <w:rFonts w:ascii="Verdana" w:hAnsi="Verdana"/>
          <w:sz w:val="18"/>
          <w:szCs w:val="18"/>
        </w:rPr>
      </w:pPr>
      <w:r w:rsidRPr="00B25968">
        <w:rPr>
          <w:rFonts w:ascii="Verdana" w:hAnsi="Verdana"/>
          <w:sz w:val="18"/>
          <w:szCs w:val="18"/>
        </w:rPr>
        <w:t>Component</w:t>
      </w:r>
    </w:p>
    <w:p w:rsidR="00B25968" w:rsidRPr="00B25968" w:rsidRDefault="00B25968" w:rsidP="00B25968">
      <w:pPr>
        <w:spacing w:after="0"/>
        <w:rPr>
          <w:rFonts w:ascii="Verdana" w:hAnsi="Verdana"/>
          <w:sz w:val="18"/>
          <w:szCs w:val="18"/>
        </w:rPr>
      </w:pPr>
      <w:r w:rsidRPr="00B25968">
        <w:rPr>
          <w:rFonts w:ascii="Verdana" w:hAnsi="Verdana"/>
          <w:sz w:val="18"/>
          <w:szCs w:val="18"/>
        </w:rPr>
        <w:t>KIT: Includes 25 AutoScore Answer Forms; Manual; 50 Aggressive Behavior Checklists (25 Teacher Forms; 25 Student Forms)</w:t>
      </w:r>
    </w:p>
    <w:sectPr w:rsidR="00B25968" w:rsidRPr="00B25968" w:rsidSect="008860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E43D3"/>
    <w:rsid w:val="00886012"/>
    <w:rsid w:val="00B25968"/>
    <w:rsid w:val="00CE43D3"/>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0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5968"/>
    <w:rPr>
      <w:b/>
      <w:bCs/>
    </w:rPr>
  </w:style>
  <w:style w:type="paragraph" w:styleId="NormalWeb">
    <w:name w:val="Normal (Web)"/>
    <w:basedOn w:val="Normal"/>
    <w:uiPriority w:val="99"/>
    <w:semiHidden/>
    <w:unhideWhenUsed/>
    <w:rsid w:val="00B2596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25968"/>
    <w:rPr>
      <w:color w:val="0000FF"/>
      <w:u w:val="single"/>
    </w:rPr>
  </w:style>
  <w:style w:type="paragraph" w:styleId="BalloonText">
    <w:name w:val="Balloon Text"/>
    <w:basedOn w:val="Normal"/>
    <w:link w:val="BalloonTextChar"/>
    <w:uiPriority w:val="99"/>
    <w:semiHidden/>
    <w:unhideWhenUsed/>
    <w:rsid w:val="00B259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968"/>
    <w:rPr>
      <w:rFonts w:ascii="Tahoma" w:hAnsi="Tahoma" w:cs="Tahoma"/>
      <w:sz w:val="16"/>
      <w:szCs w:val="16"/>
    </w:rPr>
  </w:style>
  <w:style w:type="character" w:styleId="Emphasis">
    <w:name w:val="Emphasis"/>
    <w:basedOn w:val="DefaultParagraphFont"/>
    <w:uiPriority w:val="20"/>
    <w:qFormat/>
    <w:rsid w:val="00B25968"/>
    <w:rPr>
      <w:i/>
      <w:iCs/>
    </w:rPr>
  </w:style>
</w:styles>
</file>

<file path=word/webSettings.xml><?xml version="1.0" encoding="utf-8"?>
<w:webSettings xmlns:r="http://schemas.openxmlformats.org/officeDocument/2006/relationships" xmlns:w="http://schemas.openxmlformats.org/wordprocessingml/2006/main">
  <w:divs>
    <w:div w:id="245000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wpspublish.com/pls/portal/url/page/wps/W-348" TargetMode="External"/><Relationship Id="rId3" Type="http://schemas.openxmlformats.org/officeDocument/2006/relationships/webSettings" Target="webSettings.xml"/><Relationship Id="rId7" Type="http://schemas.openxmlformats.org/officeDocument/2006/relationships/hyperlink" Target="http://portal.wpspublish.com/pls/portal/url/page/wps/W-34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ortal.wpspublish.com/pls/portal/url/page/wps/W-371"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540</Words>
  <Characters>3084</Characters>
  <Application>Microsoft Office Word</Application>
  <DocSecurity>0</DocSecurity>
  <Lines>25</Lines>
  <Paragraphs>7</Paragraphs>
  <ScaleCrop>false</ScaleCrop>
  <Company>Home</Company>
  <LinksUpToDate>false</LinksUpToDate>
  <CharactersWithSpaces>3617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Honey</dc:creator>
  <cp:keywords/>
  <dc:description/>
  <cp:lastModifiedBy>Honey</cp:lastModifiedBy>
  <cp:revision>2</cp:revision>
  <dcterms:created xsi:type="dcterms:W3CDTF">2010-03-08T06:26:00Z</dcterms:created>
  <dcterms:modified xsi:type="dcterms:W3CDTF">2010-03-08T06:31:00Z</dcterms:modified>
</cp:coreProperties>
</file>