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435"/>
        <w:gridCol w:w="2925"/>
      </w:tblGrid>
      <w:tr w:rsidR="00734726" w:rsidRPr="00734726" w:rsidTr="00734726">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285"/>
              <w:gridCol w:w="150"/>
            </w:tblGrid>
            <w:tr w:rsidR="00734726" w:rsidRPr="00734726">
              <w:trPr>
                <w:tblCellSpacing w:w="0" w:type="dxa"/>
              </w:trPr>
              <w:tc>
                <w:tcPr>
                  <w:tcW w:w="5000" w:type="pct"/>
                  <w:shd w:val="clear" w:color="auto" w:fill="FFFFFF"/>
                  <w:hideMark/>
                </w:tcPr>
                <w:p w:rsidR="00734726" w:rsidRPr="00734726" w:rsidRDefault="00734726" w:rsidP="00734726">
                  <w:pPr>
                    <w:spacing w:after="0" w:line="240" w:lineRule="auto"/>
                    <w:rPr>
                      <w:rFonts w:ascii="Verdana" w:eastAsia="Times New Roman" w:hAnsi="Verdana" w:cs="Arial"/>
                      <w:color w:val="000000"/>
                      <w:sz w:val="18"/>
                      <w:szCs w:val="18"/>
                    </w:rPr>
                  </w:pPr>
                  <w:r w:rsidRPr="00734726">
                    <w:rPr>
                      <w:rFonts w:ascii="Verdana" w:eastAsia="Times New Roman" w:hAnsi="Verdana" w:cs="Arial"/>
                      <w:b/>
                      <w:bCs/>
                      <w:color w:val="000000"/>
                      <w:sz w:val="18"/>
                      <w:szCs w:val="18"/>
                    </w:rPr>
                    <w:t>Bell Object Relations and Reality Testing Inventory (BORRTI)</w:t>
                  </w:r>
                  <w:r w:rsidRPr="00734726">
                    <w:rPr>
                      <w:rFonts w:ascii="Verdana" w:eastAsia="Times New Roman" w:hAnsi="Verdana" w:cs="Arial"/>
                      <w:color w:val="000000"/>
                      <w:sz w:val="18"/>
                      <w:szCs w:val="18"/>
                    </w:rPr>
                    <w:t xml:space="preserve"> </w:t>
                  </w:r>
                </w:p>
                <w:p w:rsidR="00734726" w:rsidRPr="00734726" w:rsidRDefault="00734726" w:rsidP="00734726">
                  <w:pPr>
                    <w:spacing w:after="0" w:line="240" w:lineRule="auto"/>
                    <w:rPr>
                      <w:rFonts w:ascii="Verdana" w:eastAsia="Times New Roman" w:hAnsi="Verdana" w:cs="Times New Roman"/>
                      <w:color w:val="000000"/>
                      <w:sz w:val="18"/>
                      <w:szCs w:val="18"/>
                    </w:rPr>
                  </w:pPr>
                  <w:r w:rsidRPr="00734726">
                    <w:rPr>
                      <w:rFonts w:ascii="Verdana" w:eastAsia="Times New Roman" w:hAnsi="Verdana" w:cs="Arial"/>
                      <w:color w:val="000000"/>
                      <w:sz w:val="18"/>
                      <w:szCs w:val="18"/>
                    </w:rPr>
                    <w:t>by Morris D. Bell, Ph.D.</w:t>
                  </w:r>
                </w:p>
              </w:tc>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2"/>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734726" w:rsidRPr="00734726" w:rsidRDefault="00734726" w:rsidP="00734726">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925"/>
            </w:tblGrid>
            <w:tr w:rsidR="00734726" w:rsidRPr="00734726">
              <w:trPr>
                <w:tblCellSpacing w:w="0" w:type="dxa"/>
              </w:trPr>
              <w:tc>
                <w:tcPr>
                  <w:tcW w:w="0" w:type="auto"/>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p>
              </w:tc>
            </w:tr>
          </w:tbl>
          <w:p w:rsidR="00734726" w:rsidRPr="00734726" w:rsidRDefault="00734726" w:rsidP="00734726">
            <w:pPr>
              <w:spacing w:after="0" w:line="240" w:lineRule="auto"/>
              <w:rPr>
                <w:rFonts w:ascii="Verdana" w:eastAsia="Times New Roman" w:hAnsi="Verdana" w:cs="Times New Roman"/>
                <w:sz w:val="18"/>
                <w:szCs w:val="18"/>
              </w:rPr>
            </w:pPr>
          </w:p>
        </w:tc>
      </w:tr>
    </w:tbl>
    <w:p w:rsidR="00734726" w:rsidRPr="00734726" w:rsidRDefault="00734726" w:rsidP="00734726">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3790"/>
        <w:gridCol w:w="5570"/>
      </w:tblGrid>
      <w:tr w:rsidR="00734726" w:rsidRPr="00734726" w:rsidTr="00734726">
        <w:trPr>
          <w:tblCellSpacing w:w="0" w:type="dxa"/>
        </w:trPr>
        <w:tc>
          <w:tcPr>
            <w:tcW w:w="6000" w:type="dxa"/>
            <w:hideMark/>
          </w:tcPr>
          <w:tbl>
            <w:tblPr>
              <w:tblW w:w="5000" w:type="pct"/>
              <w:tblCellSpacing w:w="0" w:type="dxa"/>
              <w:tblCellMar>
                <w:left w:w="0" w:type="dxa"/>
                <w:right w:w="0" w:type="dxa"/>
              </w:tblCellMar>
              <w:tblLook w:val="04A0"/>
            </w:tblPr>
            <w:tblGrid>
              <w:gridCol w:w="3790"/>
            </w:tblGrid>
            <w:tr w:rsidR="00734726" w:rsidRPr="00734726">
              <w:trPr>
                <w:tblCellSpacing w:w="0" w:type="dxa"/>
              </w:trPr>
              <w:tc>
                <w:tcPr>
                  <w:tcW w:w="0" w:type="auto"/>
                  <w:vAlign w:val="center"/>
                  <w:hideMark/>
                </w:tcPr>
                <w:p w:rsidR="00734726" w:rsidRPr="00734726" w:rsidRDefault="00734726" w:rsidP="00734726">
                  <w:pPr>
                    <w:spacing w:after="0" w:line="240" w:lineRule="auto"/>
                    <w:rPr>
                      <w:rFonts w:ascii="Verdana" w:eastAsia="Times New Roman" w:hAnsi="Verdana" w:cs="Times New Roman"/>
                      <w:sz w:val="18"/>
                      <w:szCs w:val="18"/>
                    </w:rPr>
                  </w:pPr>
                </w:p>
              </w:tc>
            </w:tr>
          </w:tbl>
          <w:p w:rsidR="00734726" w:rsidRPr="00734726" w:rsidRDefault="00734726" w:rsidP="00734726">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490"/>
              <w:gridCol w:w="150"/>
            </w:tblGrid>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734726" w:rsidRPr="00734726">
              <w:trPr>
                <w:tblCellSpacing w:w="0" w:type="dxa"/>
              </w:trPr>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2038350" cy="3419475"/>
                        <wp:effectExtent l="19050" t="0" r="0" b="0"/>
                        <wp:docPr id="5" name="Picture 5" descr="http://portal.wpspublish.com/pls/portal/docs/1/111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pls/portal/docs/1/111019.JPG"/>
                                <pic:cNvPicPr>
                                  <a:picLocks noChangeAspect="1" noChangeArrowheads="1"/>
                                </pic:cNvPicPr>
                              </pic:nvPicPr>
                              <pic:blipFill>
                                <a:blip r:embed="rId6"/>
                                <a:srcRect/>
                                <a:stretch>
                                  <a:fillRect/>
                                </a:stretch>
                              </pic:blipFill>
                              <pic:spPr bwMode="auto">
                                <a:xfrm>
                                  <a:off x="0" y="0"/>
                                  <a:ext cx="2038350" cy="3419475"/>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734726" w:rsidRPr="00734726" w:rsidRDefault="00734726" w:rsidP="00734726">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3790"/>
            </w:tblGrid>
            <w:tr w:rsidR="00734726" w:rsidRPr="00734726">
              <w:trPr>
                <w:tblCellSpacing w:w="0" w:type="dxa"/>
              </w:trPr>
              <w:tc>
                <w:tcPr>
                  <w:tcW w:w="0" w:type="auto"/>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p>
              </w:tc>
            </w:tr>
          </w:tbl>
          <w:p w:rsidR="00734726" w:rsidRPr="00734726" w:rsidRDefault="00734726" w:rsidP="00734726">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790"/>
            </w:tblGrid>
            <w:tr w:rsidR="00734726" w:rsidRPr="00734726">
              <w:trPr>
                <w:tblCellSpacing w:w="0" w:type="dxa"/>
              </w:trPr>
              <w:tc>
                <w:tcPr>
                  <w:tcW w:w="0" w:type="auto"/>
                  <w:vAlign w:val="center"/>
                  <w:hideMark/>
                </w:tcPr>
                <w:p w:rsidR="00734726" w:rsidRPr="00734726" w:rsidRDefault="00734726" w:rsidP="00734726">
                  <w:pPr>
                    <w:spacing w:after="0" w:line="240" w:lineRule="auto"/>
                    <w:rPr>
                      <w:rFonts w:ascii="Verdana" w:eastAsia="Times New Roman" w:hAnsi="Verdana" w:cs="Times New Roman"/>
                      <w:sz w:val="18"/>
                      <w:szCs w:val="18"/>
                    </w:rPr>
                  </w:pPr>
                </w:p>
              </w:tc>
            </w:tr>
          </w:tbl>
          <w:p w:rsidR="00734726" w:rsidRPr="00734726" w:rsidRDefault="00734726" w:rsidP="00734726">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150"/>
              <w:gridCol w:w="5270"/>
              <w:gridCol w:w="150"/>
            </w:tblGrid>
            <w:tr w:rsidR="00734726" w:rsidRPr="00734726">
              <w:trPr>
                <w:tblCellSpacing w:w="0" w:type="dxa"/>
              </w:trPr>
              <w:tc>
                <w:tcPr>
                  <w:tcW w:w="5000" w:type="pct"/>
                  <w:gridSpan w:val="3"/>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734726" w:rsidRPr="00734726">
              <w:trPr>
                <w:tblCellSpacing w:w="0" w:type="dxa"/>
              </w:trPr>
              <w:tc>
                <w:tcPr>
                  <w:tcW w:w="150" w:type="dxa"/>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W w:w="4536" w:type="dxa"/>
                    <w:tblCellMar>
                      <w:left w:w="0" w:type="dxa"/>
                      <w:right w:w="0" w:type="dxa"/>
                    </w:tblCellMar>
                    <w:tblLook w:val="04A0"/>
                  </w:tblPr>
                  <w:tblGrid>
                    <w:gridCol w:w="1984"/>
                    <w:gridCol w:w="2552"/>
                  </w:tblGrid>
                  <w:tr w:rsidR="00734726" w:rsidRPr="00734726">
                    <w:trPr>
                      <w:trHeight w:val="374"/>
                    </w:trPr>
                    <w:tc>
                      <w:tcPr>
                        <w:tcW w:w="4536" w:type="dxa"/>
                        <w:gridSpan w:val="2"/>
                        <w:tcBorders>
                          <w:top w:val="nil"/>
                          <w:left w:val="nil"/>
                          <w:bottom w:val="single" w:sz="4" w:space="0" w:color="auto"/>
                          <w:right w:val="single" w:sz="4" w:space="0" w:color="auto"/>
                        </w:tcBorders>
                        <w:shd w:val="clear" w:color="auto" w:fill="636D6B"/>
                        <w:tcMar>
                          <w:top w:w="40" w:type="dxa"/>
                          <w:left w:w="40" w:type="dxa"/>
                          <w:bottom w:w="40" w:type="dxa"/>
                          <w:right w:w="40" w:type="dxa"/>
                        </w:tcMar>
                        <w:vAlign w:val="center"/>
                        <w:hideMark/>
                      </w:tcPr>
                      <w:p w:rsidR="00734726" w:rsidRPr="00734726" w:rsidRDefault="00734726" w:rsidP="00734726">
                        <w:pPr>
                          <w:spacing w:after="0" w:line="240" w:lineRule="auto"/>
                          <w:rPr>
                            <w:rFonts w:ascii="Verdana" w:eastAsia="Times New Roman" w:hAnsi="Verdana" w:cs="Arial"/>
                            <w:sz w:val="18"/>
                            <w:szCs w:val="18"/>
                          </w:rPr>
                        </w:pPr>
                        <w:r w:rsidRPr="00734726">
                          <w:rPr>
                            <w:rFonts w:ascii="Verdana" w:eastAsia="Times New Roman" w:hAnsi="Verdana" w:cs="Arial"/>
                            <w:color w:val="FFFFFF"/>
                            <w:sz w:val="18"/>
                            <w:szCs w:val="18"/>
                          </w:rPr>
                          <w:t> </w:t>
                        </w:r>
                        <w:r w:rsidRPr="00734726">
                          <w:rPr>
                            <w:rFonts w:ascii="Verdana" w:eastAsia="Times New Roman" w:hAnsi="Verdana" w:cs="Arial"/>
                            <w:b/>
                            <w:bCs/>
                            <w:color w:val="FFFFFF"/>
                            <w:sz w:val="18"/>
                            <w:szCs w:val="18"/>
                          </w:rPr>
                          <w:t>At a Glance</w:t>
                        </w:r>
                      </w:p>
                    </w:tc>
                  </w:tr>
                  <w:tr w:rsidR="00734726" w:rsidRPr="00734726">
                    <w:tc>
                      <w:tcPr>
                        <w:tcW w:w="1984" w:type="dxa"/>
                        <w:tcMar>
                          <w:top w:w="40" w:type="dxa"/>
                          <w:left w:w="40" w:type="dxa"/>
                          <w:bottom w:w="40" w:type="dxa"/>
                          <w:right w:w="40" w:type="dxa"/>
                        </w:tcMar>
                        <w:hideMark/>
                      </w:tcPr>
                      <w:p w:rsidR="00734726" w:rsidRPr="00734726" w:rsidRDefault="00734726" w:rsidP="00734726">
                        <w:pPr>
                          <w:spacing w:after="0" w:line="240" w:lineRule="auto"/>
                          <w:jc w:val="right"/>
                          <w:rPr>
                            <w:rFonts w:ascii="Verdana" w:eastAsia="Times New Roman" w:hAnsi="Verdana" w:cs="Times New Roman"/>
                            <w:sz w:val="18"/>
                            <w:szCs w:val="18"/>
                          </w:rPr>
                        </w:pPr>
                        <w:r w:rsidRPr="00734726">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Arial"/>
                            <w:sz w:val="18"/>
                            <w:szCs w:val="18"/>
                          </w:rPr>
                          <w:t>Quickly identifies adults with character disorders and psychoses and tells you which treatment methods are likely to be most effective</w:t>
                        </w:r>
                      </w:p>
                    </w:tc>
                  </w:tr>
                  <w:tr w:rsidR="00734726" w:rsidRPr="00734726">
                    <w:tc>
                      <w:tcPr>
                        <w:tcW w:w="1984" w:type="dxa"/>
                        <w:tcMar>
                          <w:top w:w="40" w:type="dxa"/>
                          <w:left w:w="40" w:type="dxa"/>
                          <w:bottom w:w="40" w:type="dxa"/>
                          <w:right w:w="40" w:type="dxa"/>
                        </w:tcMar>
                        <w:hideMark/>
                      </w:tcPr>
                      <w:p w:rsidR="00734726" w:rsidRPr="00734726" w:rsidRDefault="00734726" w:rsidP="00734726">
                        <w:pPr>
                          <w:spacing w:after="0" w:line="240" w:lineRule="auto"/>
                          <w:jc w:val="right"/>
                          <w:rPr>
                            <w:rFonts w:ascii="Verdana" w:eastAsia="Times New Roman" w:hAnsi="Verdana" w:cs="Times New Roman"/>
                            <w:sz w:val="18"/>
                            <w:szCs w:val="18"/>
                          </w:rPr>
                        </w:pPr>
                        <w:r w:rsidRPr="00734726">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Arial"/>
                            <w:sz w:val="18"/>
                            <w:szCs w:val="18"/>
                          </w:rPr>
                          <w:t>18 and over</w:t>
                        </w:r>
                      </w:p>
                    </w:tc>
                  </w:tr>
                  <w:tr w:rsidR="00734726" w:rsidRPr="00734726">
                    <w:tc>
                      <w:tcPr>
                        <w:tcW w:w="1984" w:type="dxa"/>
                        <w:tcMar>
                          <w:top w:w="40" w:type="dxa"/>
                          <w:left w:w="40" w:type="dxa"/>
                          <w:bottom w:w="40" w:type="dxa"/>
                          <w:right w:w="40" w:type="dxa"/>
                        </w:tcMar>
                        <w:hideMark/>
                      </w:tcPr>
                      <w:p w:rsidR="00734726" w:rsidRPr="00734726" w:rsidRDefault="00734726" w:rsidP="00734726">
                        <w:pPr>
                          <w:spacing w:after="0" w:line="240" w:lineRule="auto"/>
                          <w:jc w:val="right"/>
                          <w:rPr>
                            <w:rFonts w:ascii="Verdana" w:eastAsia="Times New Roman" w:hAnsi="Verdana" w:cs="Arial"/>
                            <w:b/>
                            <w:bCs/>
                            <w:sz w:val="18"/>
                            <w:szCs w:val="18"/>
                          </w:rPr>
                        </w:pPr>
                        <w:r w:rsidRPr="00734726">
                          <w:rPr>
                            <w:rFonts w:ascii="Verdana" w:eastAsia="Times New Roman" w:hAnsi="Verdana" w:cs="Arial"/>
                            <w:b/>
                            <w:bCs/>
                            <w:sz w:val="18"/>
                            <w:szCs w:val="18"/>
                          </w:rPr>
                          <w:t>Administration Time</w:t>
                        </w:r>
                      </w:p>
                    </w:tc>
                    <w:tc>
                      <w:tcPr>
                        <w:tcW w:w="2552" w:type="dxa"/>
                        <w:tcMar>
                          <w:top w:w="40" w:type="dxa"/>
                          <w:left w:w="40" w:type="dxa"/>
                          <w:bottom w:w="40" w:type="dxa"/>
                          <w:right w:w="40" w:type="dxa"/>
                        </w:tcMar>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Arial"/>
                            <w:sz w:val="18"/>
                            <w:szCs w:val="18"/>
                          </w:rPr>
                          <w:t>15 to 20 minutes</w:t>
                        </w:r>
                      </w:p>
                    </w:tc>
                  </w:tr>
                  <w:tr w:rsidR="00734726" w:rsidRPr="00734726">
                    <w:tc>
                      <w:tcPr>
                        <w:tcW w:w="1984" w:type="dxa"/>
                        <w:tcMar>
                          <w:top w:w="40" w:type="dxa"/>
                          <w:left w:w="40" w:type="dxa"/>
                          <w:bottom w:w="40" w:type="dxa"/>
                          <w:right w:w="40" w:type="dxa"/>
                        </w:tcMar>
                        <w:hideMark/>
                      </w:tcPr>
                      <w:p w:rsidR="00734726" w:rsidRPr="00734726" w:rsidRDefault="00734726" w:rsidP="00734726">
                        <w:pPr>
                          <w:spacing w:after="0" w:line="240" w:lineRule="auto"/>
                          <w:jc w:val="right"/>
                          <w:rPr>
                            <w:rFonts w:ascii="Verdana" w:eastAsia="Times New Roman" w:hAnsi="Verdana" w:cs="Times New Roman"/>
                            <w:sz w:val="18"/>
                            <w:szCs w:val="18"/>
                          </w:rPr>
                        </w:pPr>
                        <w:r w:rsidRPr="00734726">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Arial"/>
                            <w:sz w:val="18"/>
                            <w:szCs w:val="18"/>
                          </w:rPr>
                          <w:t>Self-report</w:t>
                        </w:r>
                      </w:p>
                    </w:tc>
                  </w:tr>
                  <w:tr w:rsidR="00734726" w:rsidRPr="00734726">
                    <w:tc>
                      <w:tcPr>
                        <w:tcW w:w="1984" w:type="dxa"/>
                        <w:tcMar>
                          <w:top w:w="40" w:type="dxa"/>
                          <w:left w:w="40" w:type="dxa"/>
                          <w:bottom w:w="40" w:type="dxa"/>
                          <w:right w:w="40" w:type="dxa"/>
                        </w:tcMar>
                        <w:hideMark/>
                      </w:tcPr>
                      <w:p w:rsidR="00734726" w:rsidRPr="00734726" w:rsidRDefault="00734726" w:rsidP="00734726">
                        <w:pPr>
                          <w:spacing w:after="0" w:line="240" w:lineRule="auto"/>
                          <w:jc w:val="right"/>
                          <w:rPr>
                            <w:rFonts w:ascii="Verdana" w:eastAsia="Times New Roman" w:hAnsi="Verdana" w:cs="Arial"/>
                            <w:b/>
                            <w:bCs/>
                            <w:sz w:val="18"/>
                            <w:szCs w:val="18"/>
                          </w:rPr>
                        </w:pPr>
                        <w:r w:rsidRPr="00734726">
                          <w:rPr>
                            <w:rFonts w:ascii="Verdana" w:eastAsia="Times New Roman" w:hAnsi="Verdana" w:cs="Arial"/>
                            <w:b/>
                            <w:bCs/>
                            <w:sz w:val="18"/>
                            <w:szCs w:val="18"/>
                          </w:rPr>
                          <w:t>Norms</w:t>
                        </w:r>
                      </w:p>
                    </w:tc>
                    <w:tc>
                      <w:tcPr>
                        <w:tcW w:w="2552" w:type="dxa"/>
                        <w:tcMar>
                          <w:top w:w="40" w:type="dxa"/>
                          <w:left w:w="40" w:type="dxa"/>
                          <w:bottom w:w="40" w:type="dxa"/>
                          <w:right w:w="40" w:type="dxa"/>
                        </w:tcMar>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Arial"/>
                            <w:sz w:val="18"/>
                            <w:szCs w:val="18"/>
                          </w:rPr>
                          <w:t>Based on a nonclinical sample of 1,000 adults</w:t>
                        </w:r>
                      </w:p>
                    </w:tc>
                  </w:tr>
                </w:tbl>
                <w:p w:rsidR="00734726" w:rsidRPr="00734726" w:rsidRDefault="00734726" w:rsidP="00734726">
                  <w:pPr>
                    <w:spacing w:after="0" w:line="240" w:lineRule="auto"/>
                    <w:rPr>
                      <w:rFonts w:ascii="Verdana" w:eastAsia="Times New Roman" w:hAnsi="Verdana" w:cs="Arial"/>
                      <w:color w:val="000000"/>
                      <w:sz w:val="18"/>
                      <w:szCs w:val="18"/>
                    </w:rPr>
                  </w:pPr>
                </w:p>
              </w:tc>
              <w:tc>
                <w:tcPr>
                  <w:tcW w:w="150" w:type="dxa"/>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3"/>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0"/>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734726" w:rsidRPr="00734726" w:rsidRDefault="00734726" w:rsidP="00734726">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5270"/>
              <w:gridCol w:w="150"/>
            </w:tblGrid>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0"/>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734726" w:rsidRPr="00734726">
              <w:trPr>
                <w:tblCellSpacing w:w="0" w:type="dxa"/>
              </w:trPr>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34726" w:rsidRPr="00734726" w:rsidRDefault="00734726" w:rsidP="00734726">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734726" w:rsidRPr="00734726">
                    <w:tc>
                      <w:tcPr>
                        <w:tcW w:w="0" w:type="auto"/>
                        <w:tcBorders>
                          <w:top w:val="nil"/>
                          <w:left w:val="nil"/>
                          <w:bottom w:val="nil"/>
                          <w:right w:val="nil"/>
                        </w:tcBorders>
                        <w:shd w:val="clear" w:color="auto" w:fill="C6CF9C"/>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b/>
                            <w:bCs/>
                            <w:color w:val="FFFFFF"/>
                            <w:sz w:val="18"/>
                            <w:szCs w:val="18"/>
                          </w:rPr>
                          <w:t xml:space="preserve">  </w:t>
                        </w:r>
                        <w:r w:rsidRPr="00734726">
                          <w:rPr>
                            <w:rFonts w:ascii="Verdana" w:eastAsia="Times New Roman" w:hAnsi="Verdana" w:cs="Times New Roman"/>
                            <w:b/>
                            <w:bCs/>
                            <w:color w:val="636D6B"/>
                            <w:sz w:val="18"/>
                            <w:szCs w:val="18"/>
                          </w:rPr>
                          <w:t>Related Products</w:t>
                        </w:r>
                      </w:p>
                    </w:tc>
                  </w:tr>
                </w:tbl>
                <w:p w:rsidR="00734726" w:rsidRPr="00734726" w:rsidRDefault="00734726" w:rsidP="00734726">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47625" cy="476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34726" w:rsidRPr="00734726">
              <w:trPr>
                <w:tblCellSpacing w:w="0" w:type="dxa"/>
              </w:trPr>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34726" w:rsidRPr="00734726" w:rsidRDefault="00734726" w:rsidP="00734726">
                  <w:pPr>
                    <w:spacing w:after="0" w:line="240" w:lineRule="auto"/>
                    <w:rPr>
                      <w:rFonts w:ascii="Verdana" w:eastAsia="Times New Roman" w:hAnsi="Verdana" w:cs="Times New Roman"/>
                      <w:sz w:val="18"/>
                      <w:szCs w:val="18"/>
                    </w:rPr>
                  </w:pPr>
                  <w:hyperlink r:id="rId7" w:history="1">
                    <w:r w:rsidRPr="00734726">
                      <w:rPr>
                        <w:rFonts w:ascii="Verdana" w:eastAsia="Times New Roman" w:hAnsi="Verdana" w:cs="Arial"/>
                        <w:color w:val="003063"/>
                        <w:sz w:val="18"/>
                        <w:szCs w:val="18"/>
                        <w:u w:val="single"/>
                      </w:rPr>
                      <w:t>Bell Relationship Inventory for Adolescents (BRIA)</w:t>
                    </w:r>
                  </w:hyperlink>
                </w:p>
              </w:tc>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47625" cy="476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34726" w:rsidRPr="00734726">
              <w:trPr>
                <w:tblCellSpacing w:w="0" w:type="dxa"/>
              </w:trPr>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34726" w:rsidRPr="00734726" w:rsidRDefault="00734726" w:rsidP="00734726">
                  <w:pPr>
                    <w:spacing w:after="0" w:line="240" w:lineRule="auto"/>
                    <w:rPr>
                      <w:rFonts w:ascii="Verdana" w:eastAsia="Times New Roman" w:hAnsi="Verdana" w:cs="Times New Roman"/>
                      <w:sz w:val="18"/>
                      <w:szCs w:val="18"/>
                    </w:rPr>
                  </w:pPr>
                  <w:hyperlink r:id="rId8" w:history="1">
                    <w:r w:rsidRPr="00734726">
                      <w:rPr>
                        <w:rFonts w:ascii="Verdana" w:eastAsia="Times New Roman" w:hAnsi="Verdana" w:cs="Arial"/>
                        <w:color w:val="003063"/>
                        <w:sz w:val="18"/>
                        <w:szCs w:val="18"/>
                        <w:u w:val="single"/>
                      </w:rPr>
                      <w:t>Human Figure Drawing Test (HFDT)</w:t>
                    </w:r>
                  </w:hyperlink>
                </w:p>
              </w:tc>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47625" cy="47625"/>
                        <wp:effectExtent l="0" t="0" r="0" b="0"/>
                        <wp:docPr id="21"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34726" w:rsidRPr="00734726">
              <w:trPr>
                <w:tblCellSpacing w:w="0" w:type="dxa"/>
              </w:trPr>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22" name="Picture 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34726" w:rsidRPr="00734726" w:rsidRDefault="00734726" w:rsidP="00734726">
                  <w:pPr>
                    <w:spacing w:after="0" w:line="240" w:lineRule="auto"/>
                    <w:rPr>
                      <w:rFonts w:ascii="Verdana" w:eastAsia="Times New Roman" w:hAnsi="Verdana" w:cs="Times New Roman"/>
                      <w:sz w:val="18"/>
                      <w:szCs w:val="18"/>
                    </w:rPr>
                  </w:pPr>
                  <w:hyperlink r:id="rId9" w:history="1">
                    <w:r w:rsidRPr="00734726">
                      <w:rPr>
                        <w:rFonts w:ascii="Verdana" w:eastAsia="Times New Roman" w:hAnsi="Verdana" w:cs="Arial"/>
                        <w:color w:val="003063"/>
                        <w:sz w:val="18"/>
                        <w:szCs w:val="18"/>
                        <w:u w:val="single"/>
                      </w:rPr>
                      <w:t>Logical Rorschach</w:t>
                    </w:r>
                  </w:hyperlink>
                </w:p>
              </w:tc>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2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47625" cy="47625"/>
                        <wp:effectExtent l="0" t="0" r="0" b="0"/>
                        <wp:docPr id="24" name="Picture 2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34726" w:rsidRPr="00734726">
              <w:trPr>
                <w:tblCellSpacing w:w="0" w:type="dxa"/>
              </w:trPr>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25" name="Picture 2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34726" w:rsidRPr="00734726" w:rsidRDefault="00734726" w:rsidP="00734726">
                  <w:pPr>
                    <w:spacing w:after="0" w:line="240" w:lineRule="auto"/>
                    <w:rPr>
                      <w:rFonts w:ascii="Verdana" w:eastAsia="Times New Roman" w:hAnsi="Verdana" w:cs="Times New Roman"/>
                      <w:sz w:val="18"/>
                      <w:szCs w:val="18"/>
                    </w:rPr>
                  </w:pPr>
                  <w:hyperlink r:id="rId10" w:history="1">
                    <w:r w:rsidRPr="00734726">
                      <w:rPr>
                        <w:rFonts w:ascii="Verdana" w:eastAsia="Times New Roman" w:hAnsi="Verdana" w:cs="Arial"/>
                        <w:color w:val="003063"/>
                        <w:sz w:val="18"/>
                        <w:szCs w:val="18"/>
                        <w:u w:val="single"/>
                      </w:rPr>
                      <w:t>Psychiatric Diagnostic Screening Questionnaire (PDSQ)</w:t>
                    </w:r>
                  </w:hyperlink>
                </w:p>
              </w:tc>
              <w:tc>
                <w:tcPr>
                  <w:tcW w:w="150" w:type="dxa"/>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
                        <wp:effectExtent l="0" t="0" r="0" b="0"/>
                        <wp:docPr id="26" name="Picture 2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34726" w:rsidRPr="00734726">
              <w:trPr>
                <w:tblCellSpacing w:w="0" w:type="dxa"/>
              </w:trPr>
              <w:tc>
                <w:tcPr>
                  <w:tcW w:w="5000" w:type="pct"/>
                  <w:gridSpan w:val="3"/>
                  <w:shd w:val="clear" w:color="auto" w:fill="FFFFFF"/>
                  <w:vAlign w:val="center"/>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Times New Roman"/>
                      <w:noProof/>
                      <w:sz w:val="18"/>
                      <w:szCs w:val="18"/>
                    </w:rPr>
                    <w:drawing>
                      <wp:inline distT="0" distB="0" distL="0" distR="0">
                        <wp:extent cx="95250" cy="95250"/>
                        <wp:effectExtent l="0" t="0" r="0" b="0"/>
                        <wp:docPr id="27" name="Picture 2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734726" w:rsidRPr="00734726" w:rsidRDefault="00734726" w:rsidP="00734726">
            <w:pPr>
              <w:spacing w:after="0" w:line="240" w:lineRule="auto"/>
              <w:rPr>
                <w:rFonts w:ascii="Verdana" w:eastAsia="Times New Roman" w:hAnsi="Verdana" w:cs="Times New Roman"/>
                <w:sz w:val="18"/>
                <w:szCs w:val="18"/>
              </w:rPr>
            </w:pPr>
          </w:p>
        </w:tc>
      </w:tr>
    </w:tbl>
    <w:p w:rsidR="00016837" w:rsidRPr="00734726" w:rsidRDefault="00016837" w:rsidP="00734726">
      <w:pPr>
        <w:spacing w:after="0"/>
        <w:rPr>
          <w:rFonts w:ascii="Verdana" w:hAnsi="Verdana"/>
          <w:sz w:val="18"/>
          <w:szCs w:val="18"/>
        </w:rPr>
      </w:pPr>
    </w:p>
    <w:tbl>
      <w:tblPr>
        <w:tblW w:w="9210" w:type="dxa"/>
        <w:tblCellSpacing w:w="0" w:type="dxa"/>
        <w:tblInd w:w="90" w:type="dxa"/>
        <w:tblCellMar>
          <w:left w:w="0" w:type="dxa"/>
          <w:right w:w="0" w:type="dxa"/>
        </w:tblCellMar>
        <w:tblLook w:val="04A0"/>
      </w:tblPr>
      <w:tblGrid>
        <w:gridCol w:w="9210"/>
      </w:tblGrid>
      <w:tr w:rsidR="00734726" w:rsidRPr="00734726" w:rsidTr="00734726">
        <w:trPr>
          <w:tblCellSpacing w:w="0" w:type="dxa"/>
        </w:trPr>
        <w:tc>
          <w:tcPr>
            <w:tcW w:w="9210" w:type="dxa"/>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Arial"/>
                <w:sz w:val="18"/>
                <w:szCs w:val="18"/>
              </w:rPr>
              <w:t> This exciting self-report inventory gives clinicians a quick, convenient, and reliable way to evaluate adults with character disorders and psychoses. Administered in just 15 to 20 minutes, the BORRTI identifies clients with Borderline Personality Disorder and tells you which treatment methods are likely to be most effective. It is especially helpful when character pathology co-occurs with other problems, such as substance abuse or PTSD. It lets you know immediately whether the individual's problems are complicated by characterological deficits that could drastically alter the course of treatment. </w:t>
            </w:r>
          </w:p>
        </w:tc>
      </w:tr>
      <w:tr w:rsidR="00734726" w:rsidRPr="00734726" w:rsidTr="00734726">
        <w:trPr>
          <w:tblCellSpacing w:w="0" w:type="dxa"/>
        </w:trPr>
        <w:tc>
          <w:tcPr>
            <w:tcW w:w="9210" w:type="dxa"/>
            <w:hideMark/>
          </w:tcPr>
          <w:p w:rsidR="00734726" w:rsidRPr="00734726" w:rsidRDefault="00734726" w:rsidP="00734726">
            <w:pPr>
              <w:spacing w:after="0" w:line="240" w:lineRule="auto"/>
              <w:rPr>
                <w:rFonts w:ascii="Verdana" w:eastAsia="Times New Roman" w:hAnsi="Verdana" w:cs="Times New Roman"/>
                <w:sz w:val="18"/>
                <w:szCs w:val="18"/>
              </w:rPr>
            </w:pPr>
            <w:r w:rsidRPr="00734726">
              <w:rPr>
                <w:rFonts w:ascii="Verdana" w:eastAsia="Times New Roman" w:hAnsi="Verdana" w:cs="Arial"/>
                <w:sz w:val="18"/>
                <w:szCs w:val="18"/>
              </w:rPr>
              <w:t>Composed of 90 items, the inventory measures object relations and reality testing on seven scales:</w:t>
            </w:r>
          </w:p>
        </w:tc>
      </w:tr>
      <w:tr w:rsidR="00734726" w:rsidRPr="00734726" w:rsidTr="00734726">
        <w:trPr>
          <w:tblCellSpacing w:w="0" w:type="dxa"/>
        </w:trPr>
        <w:tc>
          <w:tcPr>
            <w:tcW w:w="9210" w:type="dxa"/>
            <w:hideMark/>
          </w:tcPr>
          <w:p w:rsidR="00734726" w:rsidRPr="00734726" w:rsidRDefault="00734726" w:rsidP="00734726">
            <w:pPr>
              <w:spacing w:after="0" w:line="240" w:lineRule="auto"/>
              <w:rPr>
                <w:rFonts w:ascii="Verdana" w:eastAsia="Times New Roman" w:hAnsi="Verdana" w:cs="Arial"/>
                <w:b/>
                <w:bCs/>
                <w:sz w:val="18"/>
                <w:szCs w:val="18"/>
              </w:rPr>
            </w:pPr>
            <w:r w:rsidRPr="00734726">
              <w:rPr>
                <w:rFonts w:ascii="Verdana" w:eastAsia="Times New Roman" w:hAnsi="Verdana" w:cs="Arial"/>
                <w:b/>
                <w:bCs/>
                <w:sz w:val="18"/>
                <w:szCs w:val="18"/>
              </w:rPr>
              <w:t xml:space="preserve">   Object Relations</w:t>
            </w:r>
          </w:p>
        </w:tc>
      </w:tr>
      <w:tr w:rsidR="00734726" w:rsidRPr="00734726" w:rsidTr="00734726">
        <w:trPr>
          <w:tblCellSpacing w:w="0" w:type="dxa"/>
        </w:trPr>
        <w:tc>
          <w:tcPr>
            <w:tcW w:w="9210" w:type="dxa"/>
            <w:hideMark/>
          </w:tcPr>
          <w:p w:rsidR="00734726" w:rsidRPr="00734726" w:rsidRDefault="00734726" w:rsidP="00734726">
            <w:pPr>
              <w:numPr>
                <w:ilvl w:val="0"/>
                <w:numId w:val="1"/>
              </w:numPr>
              <w:spacing w:after="0" w:line="240" w:lineRule="auto"/>
              <w:rPr>
                <w:rFonts w:ascii="Verdana" w:eastAsia="Times New Roman" w:hAnsi="Verdana" w:cs="Arial"/>
                <w:sz w:val="18"/>
                <w:szCs w:val="18"/>
              </w:rPr>
            </w:pPr>
            <w:r w:rsidRPr="00734726">
              <w:rPr>
                <w:rFonts w:ascii="Verdana" w:eastAsia="Times New Roman" w:hAnsi="Verdana" w:cs="Arial"/>
                <w:sz w:val="18"/>
                <w:szCs w:val="18"/>
              </w:rPr>
              <w:t xml:space="preserve">Alienation </w:t>
            </w:r>
          </w:p>
          <w:p w:rsidR="00734726" w:rsidRPr="00734726" w:rsidRDefault="00734726" w:rsidP="00734726">
            <w:pPr>
              <w:numPr>
                <w:ilvl w:val="0"/>
                <w:numId w:val="1"/>
              </w:numPr>
              <w:spacing w:after="0" w:line="240" w:lineRule="auto"/>
              <w:rPr>
                <w:rFonts w:ascii="Verdana" w:eastAsia="Times New Roman" w:hAnsi="Verdana" w:cs="Arial"/>
                <w:sz w:val="18"/>
                <w:szCs w:val="18"/>
              </w:rPr>
            </w:pPr>
            <w:r w:rsidRPr="00734726">
              <w:rPr>
                <w:rFonts w:ascii="Verdana" w:eastAsia="Times New Roman" w:hAnsi="Verdana" w:cs="Arial"/>
                <w:sz w:val="18"/>
                <w:szCs w:val="18"/>
              </w:rPr>
              <w:t xml:space="preserve">Insecure Attachment </w:t>
            </w:r>
          </w:p>
          <w:p w:rsidR="00734726" w:rsidRPr="00734726" w:rsidRDefault="00734726" w:rsidP="00734726">
            <w:pPr>
              <w:numPr>
                <w:ilvl w:val="0"/>
                <w:numId w:val="1"/>
              </w:numPr>
              <w:spacing w:after="0" w:line="240" w:lineRule="auto"/>
              <w:rPr>
                <w:rFonts w:ascii="Verdana" w:eastAsia="Times New Roman" w:hAnsi="Verdana" w:cs="Arial"/>
                <w:sz w:val="18"/>
                <w:szCs w:val="18"/>
              </w:rPr>
            </w:pPr>
            <w:r w:rsidRPr="00734726">
              <w:rPr>
                <w:rFonts w:ascii="Verdana" w:eastAsia="Times New Roman" w:hAnsi="Verdana" w:cs="Arial"/>
                <w:sz w:val="18"/>
                <w:szCs w:val="18"/>
              </w:rPr>
              <w:t xml:space="preserve"> Egocentricity </w:t>
            </w:r>
          </w:p>
          <w:p w:rsidR="00734726" w:rsidRPr="00734726" w:rsidRDefault="00734726" w:rsidP="00734726">
            <w:pPr>
              <w:numPr>
                <w:ilvl w:val="0"/>
                <w:numId w:val="1"/>
              </w:numPr>
              <w:spacing w:after="0" w:line="240" w:lineRule="auto"/>
              <w:rPr>
                <w:rFonts w:ascii="Verdana" w:eastAsia="Times New Roman" w:hAnsi="Verdana" w:cs="Arial"/>
                <w:sz w:val="18"/>
                <w:szCs w:val="18"/>
              </w:rPr>
            </w:pPr>
            <w:r w:rsidRPr="00734726">
              <w:rPr>
                <w:rFonts w:ascii="Verdana" w:eastAsia="Times New Roman" w:hAnsi="Verdana" w:cs="Arial"/>
                <w:sz w:val="18"/>
                <w:szCs w:val="18"/>
              </w:rPr>
              <w:t xml:space="preserve">Social Incompetence  </w:t>
            </w:r>
          </w:p>
        </w:tc>
      </w:tr>
      <w:tr w:rsidR="00734726" w:rsidRPr="00734726" w:rsidTr="00734726">
        <w:trPr>
          <w:tblCellSpacing w:w="0" w:type="dxa"/>
        </w:trPr>
        <w:tc>
          <w:tcPr>
            <w:tcW w:w="9210" w:type="dxa"/>
            <w:hideMark/>
          </w:tcPr>
          <w:p w:rsidR="00734726" w:rsidRPr="00734726" w:rsidRDefault="00734726" w:rsidP="00734726">
            <w:pPr>
              <w:spacing w:after="0" w:line="240" w:lineRule="auto"/>
              <w:rPr>
                <w:rFonts w:ascii="Verdana" w:eastAsia="Times New Roman" w:hAnsi="Verdana" w:cs="Arial"/>
                <w:b/>
                <w:bCs/>
                <w:sz w:val="18"/>
                <w:szCs w:val="18"/>
              </w:rPr>
            </w:pPr>
            <w:r w:rsidRPr="00734726">
              <w:rPr>
                <w:rFonts w:ascii="Verdana" w:eastAsia="Times New Roman" w:hAnsi="Verdana" w:cs="Arial"/>
                <w:b/>
                <w:bCs/>
                <w:sz w:val="18"/>
                <w:szCs w:val="18"/>
              </w:rPr>
              <w:t>    Reality Testing</w:t>
            </w:r>
          </w:p>
        </w:tc>
      </w:tr>
      <w:tr w:rsidR="00734726" w:rsidRPr="00734726" w:rsidTr="00734726">
        <w:trPr>
          <w:tblCellSpacing w:w="0" w:type="dxa"/>
        </w:trPr>
        <w:tc>
          <w:tcPr>
            <w:tcW w:w="9210" w:type="dxa"/>
            <w:hideMark/>
          </w:tcPr>
          <w:p w:rsidR="00734726" w:rsidRPr="00734726" w:rsidRDefault="00734726" w:rsidP="00734726">
            <w:pPr>
              <w:numPr>
                <w:ilvl w:val="0"/>
                <w:numId w:val="2"/>
              </w:numPr>
              <w:spacing w:after="0" w:line="240" w:lineRule="auto"/>
              <w:rPr>
                <w:rFonts w:ascii="Verdana" w:eastAsia="Times New Roman" w:hAnsi="Verdana" w:cs="Arial"/>
                <w:sz w:val="18"/>
                <w:szCs w:val="18"/>
              </w:rPr>
            </w:pPr>
            <w:r w:rsidRPr="00734726">
              <w:rPr>
                <w:rFonts w:ascii="Verdana" w:eastAsia="Times New Roman" w:hAnsi="Verdana" w:cs="Arial"/>
                <w:sz w:val="18"/>
                <w:szCs w:val="18"/>
              </w:rPr>
              <w:t xml:space="preserve">Reality Distortion </w:t>
            </w:r>
          </w:p>
          <w:p w:rsidR="00734726" w:rsidRPr="00734726" w:rsidRDefault="00734726" w:rsidP="00734726">
            <w:pPr>
              <w:numPr>
                <w:ilvl w:val="0"/>
                <w:numId w:val="2"/>
              </w:numPr>
              <w:spacing w:after="0" w:line="240" w:lineRule="auto"/>
              <w:rPr>
                <w:rFonts w:ascii="Verdana" w:eastAsia="Times New Roman" w:hAnsi="Verdana" w:cs="Arial"/>
                <w:sz w:val="18"/>
                <w:szCs w:val="18"/>
              </w:rPr>
            </w:pPr>
            <w:r w:rsidRPr="00734726">
              <w:rPr>
                <w:rFonts w:ascii="Verdana" w:eastAsia="Times New Roman" w:hAnsi="Verdana" w:cs="Arial"/>
                <w:sz w:val="18"/>
                <w:szCs w:val="18"/>
              </w:rPr>
              <w:t xml:space="preserve">Uncertainty of Perception </w:t>
            </w:r>
          </w:p>
          <w:p w:rsidR="00734726" w:rsidRPr="00734726" w:rsidRDefault="00734726" w:rsidP="00734726">
            <w:pPr>
              <w:numPr>
                <w:ilvl w:val="0"/>
                <w:numId w:val="2"/>
              </w:numPr>
              <w:spacing w:after="0" w:line="240" w:lineRule="auto"/>
              <w:rPr>
                <w:rFonts w:ascii="Verdana" w:eastAsia="Times New Roman" w:hAnsi="Verdana" w:cs="Arial"/>
                <w:sz w:val="18"/>
                <w:szCs w:val="18"/>
              </w:rPr>
            </w:pPr>
            <w:r w:rsidRPr="00734726">
              <w:rPr>
                <w:rFonts w:ascii="Verdana" w:eastAsia="Times New Roman" w:hAnsi="Verdana" w:cs="Arial"/>
                <w:sz w:val="18"/>
                <w:szCs w:val="18"/>
              </w:rPr>
              <w:t xml:space="preserve">Hallucinations and Delusions </w:t>
            </w:r>
          </w:p>
        </w:tc>
      </w:tr>
    </w:tbl>
    <w:p w:rsidR="00734726" w:rsidRPr="00734726" w:rsidRDefault="00734726" w:rsidP="00734726">
      <w:pPr>
        <w:spacing w:after="0"/>
        <w:rPr>
          <w:rFonts w:ascii="Verdana" w:hAnsi="Verdana"/>
          <w:sz w:val="18"/>
          <w:szCs w:val="18"/>
        </w:rPr>
      </w:pPr>
    </w:p>
    <w:p w:rsidR="00734726" w:rsidRDefault="00734726" w:rsidP="00734726">
      <w:pPr>
        <w:spacing w:after="0"/>
        <w:rPr>
          <w:rFonts w:ascii="Verdana" w:hAnsi="Verdana"/>
          <w:sz w:val="18"/>
          <w:szCs w:val="18"/>
        </w:rPr>
      </w:pPr>
      <w:r w:rsidRPr="00734726">
        <w:rPr>
          <w:rFonts w:ascii="Verdana" w:hAnsi="Verdana"/>
          <w:sz w:val="18"/>
          <w:szCs w:val="18"/>
        </w:rPr>
        <w:t>If you are interested only in the items measuring Object Relations, you can use Form O, which includes just those items.</w:t>
      </w:r>
    </w:p>
    <w:p w:rsidR="00734726" w:rsidRDefault="00734726" w:rsidP="00734726">
      <w:pPr>
        <w:spacing w:after="0"/>
        <w:rPr>
          <w:rFonts w:ascii="Verdana" w:hAnsi="Verdana"/>
          <w:sz w:val="18"/>
          <w:szCs w:val="18"/>
        </w:rPr>
      </w:pPr>
      <w:r w:rsidRPr="00734726">
        <w:rPr>
          <w:rFonts w:ascii="Verdana" w:hAnsi="Verdana"/>
          <w:sz w:val="18"/>
          <w:szCs w:val="18"/>
        </w:rPr>
        <w:t>You can administer the BORRTI as part of an initial evaluation of the client. This gives you useful clinical information at the outset--and it instantly engages the individual in the therapeutic process. Clients seem to like the test, viewing it as evidence that you understand and are interested in their problems.</w:t>
      </w:r>
    </w:p>
    <w:p w:rsidR="00734726" w:rsidRPr="00734726" w:rsidRDefault="00734726" w:rsidP="00734726">
      <w:pPr>
        <w:spacing w:after="0"/>
        <w:rPr>
          <w:rFonts w:ascii="Verdana" w:hAnsi="Verdana"/>
          <w:sz w:val="18"/>
          <w:szCs w:val="18"/>
        </w:rPr>
      </w:pPr>
      <w:r w:rsidRPr="00734726">
        <w:rPr>
          <w:rFonts w:ascii="Verdana" w:hAnsi="Verdana"/>
          <w:sz w:val="18"/>
          <w:szCs w:val="18"/>
        </w:rPr>
        <w:t>Scores from the full scale indicate the respondent's ability to sustain essential relationships and to accurately identify internal and external reality. Norms are based on a nonclinical sample of approximately 1,000 adults.</w:t>
      </w:r>
    </w:p>
    <w:p w:rsidR="00734726" w:rsidRPr="00734726" w:rsidRDefault="00734726" w:rsidP="00734726">
      <w:pPr>
        <w:spacing w:after="0"/>
        <w:rPr>
          <w:rFonts w:ascii="Verdana" w:hAnsi="Verdana"/>
          <w:sz w:val="18"/>
          <w:szCs w:val="18"/>
        </w:rPr>
      </w:pPr>
      <w:r w:rsidRPr="00734726">
        <w:rPr>
          <w:rFonts w:ascii="Verdana" w:hAnsi="Verdana"/>
          <w:sz w:val="18"/>
          <w:szCs w:val="18"/>
        </w:rPr>
        <w:lastRenderedPageBreak/>
        <w:t xml:space="preserve"> </w:t>
      </w:r>
    </w:p>
    <w:p w:rsidR="00734726" w:rsidRPr="00734726" w:rsidRDefault="00734726" w:rsidP="00734726">
      <w:pPr>
        <w:spacing w:after="0"/>
        <w:rPr>
          <w:rFonts w:ascii="Verdana" w:hAnsi="Verdana"/>
          <w:sz w:val="18"/>
          <w:szCs w:val="18"/>
        </w:rPr>
      </w:pPr>
      <w:r w:rsidRPr="00734726">
        <w:rPr>
          <w:rFonts w:ascii="Verdana" w:hAnsi="Verdana"/>
          <w:sz w:val="18"/>
          <w:szCs w:val="18"/>
        </w:rPr>
        <w:t>The test can be hand scored, using either the Full Form or Form O AutoScore Answer Form. It can also be computer scored, using WPS TEST REPORT prepaid Mail-In Answer Sheets, CD, or FAX Service. Each of these computer options gives you a full interpretive report. A Research CD, which offers scoring only, is also available.</w:t>
      </w:r>
    </w:p>
    <w:p w:rsidR="00734726" w:rsidRPr="00734726" w:rsidRDefault="00734726" w:rsidP="00734726">
      <w:pPr>
        <w:spacing w:after="0"/>
        <w:rPr>
          <w:rFonts w:ascii="Verdana" w:hAnsi="Verdana"/>
          <w:sz w:val="18"/>
          <w:szCs w:val="18"/>
        </w:rPr>
      </w:pPr>
      <w:r w:rsidRPr="00734726">
        <w:rPr>
          <w:rFonts w:ascii="Verdana" w:hAnsi="Verdana"/>
          <w:sz w:val="18"/>
          <w:szCs w:val="18"/>
        </w:rPr>
        <w:t>The BORRTI test report profiles scores, describes client characteristics, makes diagnostic suggestions, and provides explicit, individualized treatment recommendations. It also alerts you to potential threats to the therapeutic relationship, and lists Specific Clinical Themes that apply to the client in question.</w:t>
      </w:r>
    </w:p>
    <w:p w:rsidR="00734726" w:rsidRPr="00734726" w:rsidRDefault="00734726" w:rsidP="00734726">
      <w:pPr>
        <w:spacing w:after="0"/>
        <w:rPr>
          <w:rFonts w:ascii="Verdana" w:hAnsi="Verdana"/>
          <w:sz w:val="18"/>
          <w:szCs w:val="18"/>
        </w:rPr>
      </w:pPr>
      <w:r w:rsidRPr="00734726">
        <w:rPr>
          <w:rFonts w:ascii="Verdana" w:hAnsi="Verdana"/>
          <w:sz w:val="18"/>
          <w:szCs w:val="18"/>
        </w:rPr>
        <w:t>Quicker, more reliable, and easier to use than individually administered projective tests, the BORRTI simplifies what is often a difficult task--evaluating and treating clients with personality and thought disorders.</w:t>
      </w:r>
    </w:p>
    <w:p w:rsidR="00734726" w:rsidRDefault="00734726" w:rsidP="00734726">
      <w:pPr>
        <w:spacing w:after="0"/>
        <w:rPr>
          <w:rFonts w:ascii="Verdana" w:hAnsi="Verdana"/>
          <w:sz w:val="18"/>
          <w:szCs w:val="18"/>
        </w:rPr>
      </w:pPr>
    </w:p>
    <w:p w:rsidR="00734726" w:rsidRPr="00734726" w:rsidRDefault="00734726" w:rsidP="00734726">
      <w:pPr>
        <w:spacing w:after="0"/>
        <w:rPr>
          <w:rFonts w:ascii="Verdana" w:hAnsi="Verdana"/>
          <w:sz w:val="18"/>
          <w:szCs w:val="18"/>
        </w:rPr>
      </w:pPr>
      <w:r w:rsidRPr="00734726">
        <w:rPr>
          <w:rFonts w:ascii="Verdana" w:hAnsi="Verdana"/>
          <w:sz w:val="18"/>
          <w:szCs w:val="18"/>
        </w:rPr>
        <w:t>Component</w:t>
      </w:r>
    </w:p>
    <w:p w:rsidR="00734726" w:rsidRPr="00734726" w:rsidRDefault="00734726" w:rsidP="00734726">
      <w:pPr>
        <w:spacing w:after="0"/>
        <w:rPr>
          <w:rFonts w:ascii="Verdana" w:hAnsi="Verdana"/>
          <w:sz w:val="18"/>
          <w:szCs w:val="18"/>
        </w:rPr>
      </w:pPr>
      <w:r w:rsidRPr="00734726">
        <w:rPr>
          <w:rFonts w:ascii="Verdana" w:hAnsi="Verdana"/>
          <w:sz w:val="18"/>
          <w:szCs w:val="18"/>
        </w:rPr>
        <w:t>KIT: Includes 20 Full Form AutoScore Forms; 2 WPS TEST REPORT prepaid BORRTI (Full Form) Mail-In Answer Sheets; Manual</w:t>
      </w:r>
    </w:p>
    <w:p w:rsidR="00734726" w:rsidRPr="00734726" w:rsidRDefault="00734726" w:rsidP="00734726">
      <w:pPr>
        <w:spacing w:after="0"/>
        <w:rPr>
          <w:rFonts w:ascii="Verdana" w:hAnsi="Verdana"/>
          <w:sz w:val="18"/>
          <w:szCs w:val="18"/>
        </w:rPr>
      </w:pPr>
    </w:p>
    <w:sectPr w:rsidR="00734726" w:rsidRPr="00734726" w:rsidSect="00016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1742"/>
    <w:multiLevelType w:val="multilevel"/>
    <w:tmpl w:val="32C2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C5F0942"/>
    <w:multiLevelType w:val="multilevel"/>
    <w:tmpl w:val="A396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7BF"/>
    <w:rsid w:val="00016837"/>
    <w:rsid w:val="00734726"/>
    <w:rsid w:val="00DD57B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4726"/>
    <w:rPr>
      <w:b/>
      <w:bCs/>
    </w:rPr>
  </w:style>
  <w:style w:type="paragraph" w:styleId="NormalWeb">
    <w:name w:val="Normal (Web)"/>
    <w:basedOn w:val="Normal"/>
    <w:uiPriority w:val="99"/>
    <w:semiHidden/>
    <w:unhideWhenUsed/>
    <w:rsid w:val="007347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4726"/>
    <w:rPr>
      <w:color w:val="0000FF"/>
      <w:u w:val="single"/>
    </w:rPr>
  </w:style>
  <w:style w:type="paragraph" w:styleId="BalloonText">
    <w:name w:val="Balloon Text"/>
    <w:basedOn w:val="Normal"/>
    <w:link w:val="BalloonTextChar"/>
    <w:uiPriority w:val="99"/>
    <w:semiHidden/>
    <w:unhideWhenUsed/>
    <w:rsid w:val="00734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555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286" TargetMode="External"/><Relationship Id="rId3" Type="http://schemas.openxmlformats.org/officeDocument/2006/relationships/settings" Target="settings.xml"/><Relationship Id="rId7" Type="http://schemas.openxmlformats.org/officeDocument/2006/relationships/hyperlink" Target="http://portal.wpspublish.com/pls/portal/url/page/wps/W-4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portal.wpspublish.com/pls/portal/url/page/wps/W-385" TargetMode="External"/><Relationship Id="rId4" Type="http://schemas.openxmlformats.org/officeDocument/2006/relationships/webSettings" Target="webSettings.xml"/><Relationship Id="rId9" Type="http://schemas.openxmlformats.org/officeDocument/2006/relationships/hyperlink" Target="http://portal.wpspublish.com/pls/portal/url/page/wps/W-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523</Words>
  <Characters>2985</Characters>
  <Application>Microsoft Office Word</Application>
  <DocSecurity>0</DocSecurity>
  <Lines>24</Lines>
  <Paragraphs>7</Paragraphs>
  <ScaleCrop>false</ScaleCrop>
  <Company>Home</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2010-03-08T06:37:00Z</dcterms:created>
  <dcterms:modified xsi:type="dcterms:W3CDTF">2010-03-08T06:43:00Z</dcterms:modified>
</cp:coreProperties>
</file>