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4"/>
        <w:gridCol w:w="6"/>
      </w:tblGrid>
      <w:tr w:rsidR="00F50FE0" w:rsidRPr="00F50FE0" w:rsidTr="00F50FE0">
        <w:trPr>
          <w:tblCellSpacing w:w="0" w:type="dxa"/>
        </w:trPr>
        <w:tc>
          <w:tcPr>
            <w:tcW w:w="12000" w:type="dxa"/>
            <w:hideMark/>
          </w:tcPr>
          <w:tbl>
            <w:tblPr>
              <w:tblW w:w="5000" w:type="pct"/>
              <w:tblCellSpacing w:w="0" w:type="dxa"/>
              <w:tblCellMar>
                <w:left w:w="0" w:type="dxa"/>
                <w:right w:w="0" w:type="dxa"/>
              </w:tblCellMar>
              <w:tblLook w:val="04A0"/>
            </w:tblPr>
            <w:tblGrid>
              <w:gridCol w:w="9206"/>
              <w:gridCol w:w="148"/>
            </w:tblGrid>
            <w:tr w:rsidR="00F50FE0" w:rsidRPr="00942B68">
              <w:trPr>
                <w:tblCellSpacing w:w="0" w:type="dxa"/>
              </w:trPr>
              <w:tc>
                <w:tcPr>
                  <w:tcW w:w="5000" w:type="pct"/>
                  <w:hideMark/>
                </w:tcPr>
                <w:tbl>
                  <w:tblPr>
                    <w:tblW w:w="9300" w:type="dxa"/>
                    <w:tblCellSpacing w:w="0" w:type="dxa"/>
                    <w:tblCellMar>
                      <w:top w:w="15" w:type="dxa"/>
                      <w:left w:w="15" w:type="dxa"/>
                      <w:bottom w:w="15" w:type="dxa"/>
                      <w:right w:w="15" w:type="dxa"/>
                    </w:tblCellMar>
                    <w:tblLook w:val="04A0"/>
                  </w:tblPr>
                  <w:tblGrid>
                    <w:gridCol w:w="9300"/>
                  </w:tblGrid>
                  <w:tr w:rsidR="00F50FE0" w:rsidRPr="00942B68">
                    <w:trPr>
                      <w:tblCellSpacing w:w="0" w:type="dxa"/>
                    </w:trPr>
                    <w:tc>
                      <w:tcPr>
                        <w:tcW w:w="50" w:type="pct"/>
                        <w:hideMark/>
                      </w:tcPr>
                      <w:p w:rsidR="00F50FE0" w:rsidRPr="00942B68" w:rsidRDefault="00F50FE0" w:rsidP="00F50FE0">
                        <w:pPr>
                          <w:spacing w:after="0" w:line="240" w:lineRule="auto"/>
                          <w:rPr>
                            <w:rFonts w:ascii="Arial Black" w:eastAsia="Times New Roman" w:hAnsi="Arial Black" w:cs="Times New Roman"/>
                          </w:rPr>
                        </w:pPr>
                        <w:r w:rsidRPr="00942B68">
                          <w:rPr>
                            <w:rFonts w:ascii="Arial Black" w:eastAsia="Times New Roman" w:hAnsi="Arial Black" w:cs="Arial"/>
                            <w:b/>
                            <w:bCs/>
                            <w:sz w:val="28"/>
                            <w:szCs w:val="28"/>
                          </w:rPr>
                          <w:t>Child Symptom Inventory - 4 (CSI-4)</w:t>
                        </w:r>
                      </w:p>
                    </w:tc>
                  </w:tr>
                  <w:tr w:rsidR="00F50FE0" w:rsidRPr="00942B68">
                    <w:trPr>
                      <w:trHeight w:val="360"/>
                      <w:tblCellSpacing w:w="0" w:type="dxa"/>
                    </w:trPr>
                    <w:tc>
                      <w:tcPr>
                        <w:tcW w:w="0" w:type="auto"/>
                        <w:hideMark/>
                      </w:tcPr>
                      <w:p w:rsidR="00F50FE0" w:rsidRPr="00942B68" w:rsidRDefault="00F50FE0" w:rsidP="00F50FE0">
                        <w:pPr>
                          <w:spacing w:after="0" w:line="240" w:lineRule="auto"/>
                          <w:rPr>
                            <w:rFonts w:ascii="Verdana" w:eastAsia="Times New Roman" w:hAnsi="Verdana" w:cs="Times New Roman"/>
                          </w:rPr>
                        </w:pPr>
                        <w:r w:rsidRPr="00942B68">
                          <w:rPr>
                            <w:rFonts w:ascii="Verdana" w:eastAsia="Times New Roman" w:hAnsi="Verdana" w:cs="Arial"/>
                          </w:rPr>
                          <w:t xml:space="preserve">by Kenneth D. </w:t>
                        </w:r>
                        <w:proofErr w:type="spellStart"/>
                        <w:r w:rsidRPr="00942B68">
                          <w:rPr>
                            <w:rFonts w:ascii="Verdana" w:eastAsia="Times New Roman" w:hAnsi="Verdana" w:cs="Arial"/>
                          </w:rPr>
                          <w:t>Gadow</w:t>
                        </w:r>
                        <w:proofErr w:type="spellEnd"/>
                        <w:r w:rsidRPr="00942B68">
                          <w:rPr>
                            <w:rFonts w:ascii="Verdana" w:eastAsia="Times New Roman" w:hAnsi="Verdana" w:cs="Arial"/>
                          </w:rPr>
                          <w:t xml:space="preserve">, Ph.D., and Joyce </w:t>
                        </w:r>
                        <w:proofErr w:type="spellStart"/>
                        <w:r w:rsidRPr="00942B68">
                          <w:rPr>
                            <w:rFonts w:ascii="Verdana" w:eastAsia="Times New Roman" w:hAnsi="Verdana" w:cs="Arial"/>
                          </w:rPr>
                          <w:t>Sprafkin</w:t>
                        </w:r>
                        <w:proofErr w:type="spellEnd"/>
                        <w:r w:rsidRPr="00942B68">
                          <w:rPr>
                            <w:rFonts w:ascii="Verdana" w:eastAsia="Times New Roman" w:hAnsi="Verdana" w:cs="Arial"/>
                          </w:rPr>
                          <w:t>, Ph.D.</w:t>
                        </w:r>
                      </w:p>
                    </w:tc>
                  </w:tr>
                </w:tbl>
                <w:p w:rsidR="00F50FE0" w:rsidRPr="00942B68" w:rsidRDefault="00F50FE0" w:rsidP="00F50FE0">
                  <w:pPr>
                    <w:spacing w:after="0" w:line="240" w:lineRule="auto"/>
                    <w:rPr>
                      <w:rFonts w:ascii="Verdana" w:eastAsia="Times New Roman" w:hAnsi="Verdana" w:cs="Times New Roman"/>
                    </w:rPr>
                  </w:pPr>
                </w:p>
              </w:tc>
              <w:tc>
                <w:tcPr>
                  <w:tcW w:w="150" w:type="dxa"/>
                  <w:vAlign w:val="center"/>
                  <w:hideMark/>
                </w:tcPr>
                <w:p w:rsidR="00F50FE0" w:rsidRPr="00942B68" w:rsidRDefault="00F50FE0" w:rsidP="00F50FE0">
                  <w:pPr>
                    <w:spacing w:after="0" w:line="240" w:lineRule="auto"/>
                    <w:rPr>
                      <w:rFonts w:ascii="Verdana" w:eastAsia="Times New Roman" w:hAnsi="Verdana" w:cs="Times New Roman"/>
                    </w:rPr>
                  </w:pPr>
                  <w:r w:rsidRPr="00942B68">
                    <w:rPr>
                      <w:rFonts w:ascii="Verdana" w:eastAsia="Times New Roman" w:hAnsi="Verdana" w:cs="Times New Roman"/>
                      <w:noProof/>
                      <w:lang w:val="en-PH" w:eastAsia="en-PH"/>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942B68">
              <w:trPr>
                <w:tblCellSpacing w:w="0" w:type="dxa"/>
              </w:trPr>
              <w:tc>
                <w:tcPr>
                  <w:tcW w:w="5000" w:type="pct"/>
                  <w:gridSpan w:val="2"/>
                  <w:vAlign w:val="center"/>
                  <w:hideMark/>
                </w:tcPr>
                <w:p w:rsidR="00F50FE0" w:rsidRPr="00942B68" w:rsidRDefault="00F50FE0" w:rsidP="00F50FE0">
                  <w:pPr>
                    <w:spacing w:after="0" w:line="240" w:lineRule="auto"/>
                    <w:rPr>
                      <w:rFonts w:ascii="Verdana" w:eastAsia="Times New Roman" w:hAnsi="Verdana" w:cs="Times New Roman"/>
                    </w:rPr>
                  </w:pPr>
                  <w:r w:rsidRPr="00942B68">
                    <w:rPr>
                      <w:rFonts w:ascii="Verdana" w:eastAsia="Times New Roman" w:hAnsi="Verdana" w:cs="Times New Roman"/>
                      <w:noProof/>
                      <w:lang w:val="en-PH" w:eastAsia="en-PH"/>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50FE0" w:rsidRPr="00942B68" w:rsidRDefault="00F50FE0" w:rsidP="00F50FE0">
            <w:pPr>
              <w:spacing w:after="0" w:line="240" w:lineRule="auto"/>
              <w:rPr>
                <w:rFonts w:ascii="Verdana" w:eastAsia="Times New Roman" w:hAnsi="Verdana" w:cs="Times New Roman"/>
              </w:rPr>
            </w:pPr>
          </w:p>
        </w:tc>
        <w:tc>
          <w:tcPr>
            <w:tcW w:w="6000" w:type="dxa"/>
            <w:hideMark/>
          </w:tcPr>
          <w:tbl>
            <w:tblPr>
              <w:tblW w:w="5000" w:type="pct"/>
              <w:tblCellSpacing w:w="0" w:type="dxa"/>
              <w:tblCellMar>
                <w:left w:w="0" w:type="dxa"/>
                <w:right w:w="0" w:type="dxa"/>
              </w:tblCellMar>
              <w:tblLook w:val="04A0"/>
            </w:tblPr>
            <w:tblGrid>
              <w:gridCol w:w="6"/>
            </w:tblGrid>
            <w:tr w:rsidR="00F50FE0" w:rsidRPr="00942B68">
              <w:trPr>
                <w:tblCellSpacing w:w="0" w:type="dxa"/>
              </w:trPr>
              <w:tc>
                <w:tcPr>
                  <w:tcW w:w="0" w:type="auto"/>
                  <w:vAlign w:val="center"/>
                  <w:hideMark/>
                </w:tcPr>
                <w:p w:rsidR="00F50FE0" w:rsidRPr="00942B68" w:rsidRDefault="00F50FE0" w:rsidP="00F50FE0">
                  <w:pPr>
                    <w:spacing w:after="0" w:line="240" w:lineRule="auto"/>
                    <w:rPr>
                      <w:rFonts w:ascii="Verdana" w:eastAsia="Times New Roman" w:hAnsi="Verdana" w:cs="Times New Roman"/>
                    </w:rPr>
                  </w:pPr>
                </w:p>
              </w:tc>
            </w:tr>
          </w:tbl>
          <w:p w:rsidR="00F50FE0" w:rsidRPr="00942B68" w:rsidRDefault="00F50FE0" w:rsidP="00F50FE0">
            <w:pPr>
              <w:spacing w:after="0" w:line="240" w:lineRule="auto"/>
              <w:rPr>
                <w:rFonts w:ascii="Verdana" w:eastAsia="Times New Roman" w:hAnsi="Verdana" w:cs="Times New Roman"/>
              </w:rPr>
            </w:pPr>
          </w:p>
        </w:tc>
      </w:tr>
    </w:tbl>
    <w:p w:rsidR="00F50FE0" w:rsidRPr="00F50FE0" w:rsidRDefault="00F50FE0" w:rsidP="00F50FE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19"/>
        <w:gridCol w:w="6041"/>
      </w:tblGrid>
      <w:tr w:rsidR="00F50FE0" w:rsidRPr="00F50FE0" w:rsidTr="00F50FE0">
        <w:trPr>
          <w:tblCellSpacing w:w="0" w:type="dxa"/>
        </w:trPr>
        <w:tc>
          <w:tcPr>
            <w:tcW w:w="6000" w:type="dxa"/>
            <w:hideMark/>
          </w:tcPr>
          <w:tbl>
            <w:tblPr>
              <w:tblW w:w="5000" w:type="pct"/>
              <w:tblCellSpacing w:w="0" w:type="dxa"/>
              <w:tblCellMar>
                <w:left w:w="0" w:type="dxa"/>
                <w:right w:w="0" w:type="dxa"/>
              </w:tblCellMar>
              <w:tblLook w:val="04A0"/>
            </w:tblPr>
            <w:tblGrid>
              <w:gridCol w:w="3319"/>
            </w:tblGrid>
            <w:tr w:rsidR="00F50FE0" w:rsidRPr="00F50FE0">
              <w:trPr>
                <w:tblCellSpacing w:w="0" w:type="dxa"/>
              </w:trPr>
              <w:tc>
                <w:tcPr>
                  <w:tcW w:w="0" w:type="auto"/>
                  <w:vAlign w:val="center"/>
                  <w:hideMark/>
                </w:tcPr>
                <w:p w:rsidR="00F50FE0" w:rsidRPr="00F50FE0" w:rsidRDefault="00F50FE0" w:rsidP="00F50FE0">
                  <w:pPr>
                    <w:spacing w:after="0" w:line="240" w:lineRule="auto"/>
                    <w:rPr>
                      <w:rFonts w:ascii="Verdana" w:eastAsia="Times New Roman" w:hAnsi="Verdana" w:cs="Times New Roman"/>
                      <w:sz w:val="18"/>
                      <w:szCs w:val="18"/>
                    </w:rPr>
                  </w:pPr>
                </w:p>
              </w:tc>
            </w:tr>
          </w:tbl>
          <w:p w:rsidR="00F50FE0" w:rsidRPr="00F50FE0" w:rsidRDefault="00F50FE0" w:rsidP="00F50FE0">
            <w:pPr>
              <w:spacing w:after="0" w:line="240" w:lineRule="auto"/>
              <w:rPr>
                <w:rFonts w:ascii="Verdana" w:eastAsia="Times New Roman" w:hAnsi="Verdana" w:cs="Times New Roman"/>
                <w:vanish/>
                <w:sz w:val="18"/>
                <w:szCs w:val="18"/>
              </w:rPr>
            </w:pPr>
          </w:p>
          <w:tbl>
            <w:tblPr>
              <w:tblpPr w:leftFromText="180" w:rightFromText="180" w:horzAnchor="page" w:tblpX="961" w:tblpY="300"/>
              <w:tblOverlap w:val="never"/>
              <w:tblW w:w="5000" w:type="pct"/>
              <w:tblCellSpacing w:w="0" w:type="dxa"/>
              <w:tblCellMar>
                <w:left w:w="0" w:type="dxa"/>
                <w:right w:w="0" w:type="dxa"/>
              </w:tblCellMar>
              <w:tblLook w:val="04A0"/>
            </w:tblPr>
            <w:tblGrid>
              <w:gridCol w:w="210"/>
              <w:gridCol w:w="2899"/>
              <w:gridCol w:w="210"/>
            </w:tblGrid>
            <w:tr w:rsidR="00F50FE0" w:rsidRPr="00F50FE0" w:rsidT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50FE0" w:rsidRPr="00F50FE0" w:rsidTr="00F50FE0">
              <w:trPr>
                <w:tblCellSpacing w:w="0" w:type="dxa"/>
              </w:trPr>
              <w:tc>
                <w:tcPr>
                  <w:tcW w:w="317" w:type="pct"/>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4367" w:type="pct"/>
                  <w:hideMark/>
                </w:tcPr>
                <w:p w:rsidR="00F50FE0" w:rsidRPr="00F50FE0" w:rsidRDefault="001F6A9E" w:rsidP="00F50FE0">
                  <w:pPr>
                    <w:spacing w:after="0" w:line="240" w:lineRule="auto"/>
                    <w:rPr>
                      <w:rFonts w:ascii="Verdana" w:eastAsia="Times New Roman" w:hAnsi="Verdana" w:cs="Times New Roman"/>
                      <w:sz w:val="18"/>
                      <w:szCs w:val="18"/>
                    </w:rPr>
                  </w:pPr>
                  <w:r w:rsidRPr="001F6A9E">
                    <w:rPr>
                      <w:rFonts w:ascii="Verdana" w:eastAsia="Times New Roman" w:hAnsi="Verdana" w:cs="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317" w:type="pct"/>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F50FE0" w:rsidT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50FE0" w:rsidRPr="00F50FE0" w:rsidRDefault="00F50FE0" w:rsidP="00F50FE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19"/>
            </w:tblGrid>
            <w:tr w:rsidR="00F50FE0" w:rsidRPr="00F50FE0">
              <w:trPr>
                <w:tblCellSpacing w:w="0" w:type="dxa"/>
              </w:trPr>
              <w:tc>
                <w:tcPr>
                  <w:tcW w:w="0" w:type="auto"/>
                  <w:vAlign w:val="center"/>
                  <w:hideMark/>
                </w:tcPr>
                <w:p w:rsidR="00F50FE0" w:rsidRPr="00F50FE0" w:rsidRDefault="00F50FE0" w:rsidP="00F50FE0">
                  <w:pPr>
                    <w:spacing w:after="0" w:line="240" w:lineRule="auto"/>
                    <w:rPr>
                      <w:rFonts w:ascii="Verdana" w:eastAsia="Times New Roman" w:hAnsi="Verdana" w:cs="Times New Roman"/>
                      <w:sz w:val="18"/>
                      <w:szCs w:val="18"/>
                    </w:rPr>
                  </w:pPr>
                </w:p>
              </w:tc>
            </w:tr>
          </w:tbl>
          <w:p w:rsidR="00F50FE0" w:rsidRPr="00F50FE0" w:rsidRDefault="00F50FE0" w:rsidP="00F50FE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319"/>
            </w:tblGrid>
            <w:tr w:rsidR="00F50FE0" w:rsidRPr="00F50FE0">
              <w:trPr>
                <w:tblCellSpacing w:w="0" w:type="dxa"/>
              </w:trPr>
              <w:tc>
                <w:tcPr>
                  <w:tcW w:w="0" w:type="auto"/>
                  <w:vAlign w:val="center"/>
                  <w:hideMark/>
                </w:tcPr>
                <w:p w:rsidR="00F50FE0" w:rsidRPr="00F50FE0" w:rsidRDefault="00F50FE0" w:rsidP="00F50FE0">
                  <w:pPr>
                    <w:spacing w:after="0" w:line="240" w:lineRule="auto"/>
                    <w:rPr>
                      <w:rFonts w:ascii="Verdana" w:eastAsia="Times New Roman" w:hAnsi="Verdana" w:cs="Times New Roman"/>
                      <w:sz w:val="18"/>
                      <w:szCs w:val="18"/>
                    </w:rPr>
                  </w:pPr>
                </w:p>
              </w:tc>
            </w:tr>
          </w:tbl>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1733550" cy="2857500"/>
                  <wp:effectExtent l="1905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srcRect/>
                          <a:stretch>
                            <a:fillRect/>
                          </a:stretch>
                        </pic:blipFill>
                        <pic:spPr bwMode="auto">
                          <a:xfrm>
                            <a:off x="0" y="0"/>
                            <a:ext cx="1733550" cy="2857500"/>
                          </a:xfrm>
                          <a:prstGeom prst="rect">
                            <a:avLst/>
                          </a:prstGeom>
                          <a:noFill/>
                          <a:ln w="9525">
                            <a:noFill/>
                            <a:miter lim="800000"/>
                            <a:headEnd/>
                            <a:tailEnd/>
                          </a:ln>
                        </pic:spPr>
                      </pic:pic>
                    </a:graphicData>
                  </a:graphic>
                </wp:inline>
              </w:drawing>
            </w:r>
          </w:p>
        </w:tc>
        <w:tc>
          <w:tcPr>
            <w:tcW w:w="12000" w:type="dxa"/>
            <w:hideMark/>
          </w:tcPr>
          <w:tbl>
            <w:tblPr>
              <w:tblW w:w="5000" w:type="pct"/>
              <w:tblCellSpacing w:w="0" w:type="dxa"/>
              <w:tblCellMar>
                <w:left w:w="0" w:type="dxa"/>
                <w:right w:w="0" w:type="dxa"/>
              </w:tblCellMar>
              <w:tblLook w:val="04A0"/>
            </w:tblPr>
            <w:tblGrid>
              <w:gridCol w:w="6041"/>
            </w:tblGrid>
            <w:tr w:rsidR="00F50FE0" w:rsidRPr="00F50FE0">
              <w:trPr>
                <w:tblCellSpacing w:w="0" w:type="dxa"/>
              </w:trPr>
              <w:tc>
                <w:tcPr>
                  <w:tcW w:w="0" w:type="auto"/>
                  <w:vAlign w:val="center"/>
                  <w:hideMark/>
                </w:tcPr>
                <w:p w:rsidR="00F50FE0" w:rsidRPr="00F50FE0" w:rsidRDefault="00F50FE0" w:rsidP="00F50FE0">
                  <w:pPr>
                    <w:spacing w:after="0" w:line="240" w:lineRule="auto"/>
                    <w:rPr>
                      <w:rFonts w:ascii="Verdana" w:eastAsia="Times New Roman" w:hAnsi="Verdana" w:cs="Times New Roman"/>
                      <w:sz w:val="18"/>
                      <w:szCs w:val="18"/>
                    </w:rPr>
                  </w:pPr>
                </w:p>
              </w:tc>
            </w:tr>
          </w:tbl>
          <w:p w:rsidR="00F50FE0" w:rsidRPr="00F50FE0" w:rsidRDefault="00F50FE0" w:rsidP="00F50FE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150"/>
              <w:gridCol w:w="5741"/>
              <w:gridCol w:w="150"/>
            </w:tblGrid>
            <w:tr w:rsidR="00F50FE0" w:rsidRP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F50FE0" w:rsidRPr="00F50FE0">
              <w:trPr>
                <w:tblCellSpacing w:w="0" w:type="dxa"/>
              </w:trPr>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F50FE0" w:rsidRPr="00F50FE0" w:rsidRDefault="00F50FE0" w:rsidP="00F50FE0">
                  <w:pPr>
                    <w:spacing w:after="0" w:line="240" w:lineRule="auto"/>
                    <w:rPr>
                      <w:rFonts w:ascii="Verdana" w:eastAsia="Times New Roman" w:hAnsi="Verdana" w:cs="Times New Roman"/>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F50FE0" w:rsidRPr="00F50FE0">
                    <w:tc>
                      <w:tcPr>
                        <w:tcW w:w="0" w:type="auto"/>
                        <w:tcBorders>
                          <w:top w:val="nil"/>
                          <w:left w:val="nil"/>
                          <w:bottom w:val="nil"/>
                          <w:right w:val="nil"/>
                        </w:tcBorders>
                        <w:shd w:val="clear" w:color="auto" w:fill="C6CF9C"/>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b/>
                            <w:bCs/>
                            <w:color w:val="FFFFFF"/>
                            <w:sz w:val="18"/>
                            <w:szCs w:val="18"/>
                          </w:rPr>
                          <w:t xml:space="preserve">  </w:t>
                        </w:r>
                        <w:r w:rsidRPr="00F50FE0">
                          <w:rPr>
                            <w:rFonts w:ascii="Verdana" w:eastAsia="Times New Roman" w:hAnsi="Verdana" w:cs="Times New Roman"/>
                            <w:b/>
                            <w:bCs/>
                            <w:color w:val="636D6B"/>
                            <w:sz w:val="18"/>
                            <w:szCs w:val="18"/>
                          </w:rPr>
                          <w:t>Related Products</w:t>
                        </w:r>
                      </w:p>
                    </w:tc>
                  </w:tr>
                </w:tbl>
                <w:p w:rsidR="00F50FE0" w:rsidRPr="00F50FE0" w:rsidRDefault="00F50FE0" w:rsidP="00F50FE0">
                  <w:pPr>
                    <w:spacing w:after="0" w:line="240" w:lineRule="auto"/>
                    <w:rPr>
                      <w:rFonts w:ascii="Verdana" w:eastAsia="Times New Roman" w:hAnsi="Verdana" w:cs="Times New Roman"/>
                      <w:sz w:val="18"/>
                      <w:szCs w:val="18"/>
                    </w:rPr>
                  </w:pPr>
                </w:p>
              </w:tc>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47625" cy="47625"/>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50FE0" w:rsidRPr="00F50FE0">
              <w:trPr>
                <w:tblCellSpacing w:w="0" w:type="dxa"/>
              </w:trPr>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F50FE0" w:rsidRPr="00F50FE0" w:rsidRDefault="001F6A9E" w:rsidP="00F50FE0">
                  <w:pPr>
                    <w:spacing w:after="0" w:line="240" w:lineRule="auto"/>
                    <w:rPr>
                      <w:rFonts w:ascii="Verdana" w:eastAsia="Times New Roman" w:hAnsi="Verdana" w:cs="Times New Roman"/>
                      <w:sz w:val="18"/>
                      <w:szCs w:val="18"/>
                    </w:rPr>
                  </w:pPr>
                  <w:hyperlink r:id="rId6" w:history="1">
                    <w:r w:rsidR="00F50FE0" w:rsidRPr="00F50FE0">
                      <w:rPr>
                        <w:rFonts w:ascii="Verdana" w:eastAsia="Times New Roman" w:hAnsi="Verdana" w:cs="Times New Roman"/>
                        <w:color w:val="0000FF"/>
                        <w:sz w:val="18"/>
                        <w:szCs w:val="18"/>
                        <w:u w:val="single"/>
                      </w:rPr>
                      <w:t>Early Childhood Inventory-4 (ECI-4)</w:t>
                    </w:r>
                  </w:hyperlink>
                </w:p>
              </w:tc>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47625" cy="476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50FE0" w:rsidRPr="00F50FE0">
              <w:trPr>
                <w:tblCellSpacing w:w="0" w:type="dxa"/>
              </w:trPr>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F50FE0" w:rsidRPr="00F50FE0" w:rsidRDefault="001F6A9E" w:rsidP="00F50FE0">
                  <w:pPr>
                    <w:spacing w:after="0" w:line="240" w:lineRule="auto"/>
                    <w:rPr>
                      <w:rFonts w:ascii="Verdana" w:eastAsia="Times New Roman" w:hAnsi="Verdana" w:cs="Times New Roman"/>
                      <w:sz w:val="18"/>
                      <w:szCs w:val="18"/>
                    </w:rPr>
                  </w:pPr>
                  <w:hyperlink r:id="rId7" w:history="1">
                    <w:r w:rsidR="00F50FE0" w:rsidRPr="00F50FE0">
                      <w:rPr>
                        <w:rFonts w:ascii="Verdana" w:eastAsia="Times New Roman" w:hAnsi="Verdana" w:cs="Times New Roman"/>
                        <w:color w:val="0000FF"/>
                        <w:sz w:val="18"/>
                        <w:szCs w:val="18"/>
                        <w:u w:val="single"/>
                      </w:rPr>
                      <w:t>Adolescent Symptom Inventory-4 (ASI-4)</w:t>
                    </w:r>
                  </w:hyperlink>
                </w:p>
              </w:tc>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47625" cy="476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F50FE0" w:rsidRPr="00F50FE0">
              <w:trPr>
                <w:tblCellSpacing w:w="0" w:type="dxa"/>
              </w:trPr>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p w:rsidR="00F50FE0" w:rsidRPr="00F50FE0" w:rsidRDefault="001F6A9E" w:rsidP="00F50FE0">
                  <w:pPr>
                    <w:spacing w:after="0" w:line="240" w:lineRule="auto"/>
                    <w:rPr>
                      <w:rFonts w:ascii="Verdana" w:eastAsia="Times New Roman" w:hAnsi="Verdana" w:cs="Times New Roman"/>
                      <w:sz w:val="18"/>
                      <w:szCs w:val="18"/>
                    </w:rPr>
                  </w:pPr>
                  <w:hyperlink r:id="rId8" w:history="1">
                    <w:r w:rsidR="00F50FE0" w:rsidRPr="00F50FE0">
                      <w:rPr>
                        <w:rFonts w:ascii="Verdana" w:eastAsia="Times New Roman" w:hAnsi="Verdana" w:cs="Times New Roman"/>
                        <w:color w:val="0000FF"/>
                        <w:sz w:val="18"/>
                        <w:szCs w:val="18"/>
                        <w:u w:val="single"/>
                      </w:rPr>
                      <w:t>Bell Relationship Inventory for Adolescents (BRIA)</w:t>
                    </w:r>
                  </w:hyperlink>
                </w:p>
              </w:tc>
              <w:tc>
                <w:tcPr>
                  <w:tcW w:w="150" w:type="dxa"/>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F50FE0" w:rsidRPr="00F50FE0">
              <w:trPr>
                <w:tblCellSpacing w:w="0" w:type="dxa"/>
              </w:trPr>
              <w:tc>
                <w:tcPr>
                  <w:tcW w:w="5000" w:type="pct"/>
                  <w:gridSpan w:val="3"/>
                  <w:vAlign w:val="center"/>
                  <w:hideMark/>
                </w:tcPr>
                <w:p w:rsidR="00F50FE0" w:rsidRPr="00F50FE0" w:rsidRDefault="00F50FE0" w:rsidP="00F50FE0">
                  <w:pPr>
                    <w:spacing w:after="0" w:line="240" w:lineRule="auto"/>
                    <w:rPr>
                      <w:rFonts w:ascii="Verdana" w:eastAsia="Times New Roman" w:hAnsi="Verdana" w:cs="Times New Roman"/>
                      <w:sz w:val="18"/>
                      <w:szCs w:val="18"/>
                    </w:rPr>
                  </w:pPr>
                  <w:r w:rsidRPr="00F50FE0">
                    <w:rPr>
                      <w:rFonts w:ascii="Verdana" w:eastAsia="Times New Roman" w:hAnsi="Verdana" w:cs="Times New Roman"/>
                      <w:noProof/>
                      <w:sz w:val="18"/>
                      <w:szCs w:val="18"/>
                      <w:lang w:val="en-PH" w:eastAsia="en-PH"/>
                    </w:rPr>
                    <w:drawing>
                      <wp:inline distT="0" distB="0" distL="0" distR="0">
                        <wp:extent cx="95250" cy="95250"/>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F50FE0" w:rsidRPr="00F50FE0" w:rsidRDefault="00F50FE0" w:rsidP="00F50FE0">
            <w:pPr>
              <w:spacing w:after="0" w:line="240" w:lineRule="auto"/>
              <w:rPr>
                <w:rFonts w:ascii="Verdana" w:eastAsia="Times New Roman" w:hAnsi="Verdana" w:cs="Times New Roman"/>
                <w:sz w:val="18"/>
                <w:szCs w:val="18"/>
              </w:rPr>
            </w:pPr>
          </w:p>
        </w:tc>
      </w:tr>
    </w:tbl>
    <w:p w:rsidR="000264F3" w:rsidRPr="00F50FE0" w:rsidRDefault="000264F3" w:rsidP="00F50FE0">
      <w:pPr>
        <w:spacing w:after="0"/>
        <w:rPr>
          <w:rFonts w:ascii="Verdana" w:hAnsi="Verdana"/>
          <w:sz w:val="18"/>
          <w:szCs w:val="18"/>
        </w:rPr>
      </w:pPr>
    </w:p>
    <w:p w:rsidR="00F50FE0" w:rsidRPr="00F50FE0" w:rsidRDefault="00F50FE0" w:rsidP="00F50FE0">
      <w:pPr>
        <w:spacing w:after="0"/>
        <w:rPr>
          <w:rFonts w:ascii="Verdana" w:hAnsi="Verdana"/>
          <w:sz w:val="18"/>
          <w:szCs w:val="18"/>
        </w:rPr>
      </w:pPr>
    </w:p>
    <w:p w:rsidR="00F50FE0" w:rsidRPr="00F50FE0" w:rsidRDefault="00F50FE0" w:rsidP="00F50FE0">
      <w:pPr>
        <w:spacing w:after="0"/>
        <w:rPr>
          <w:rFonts w:ascii="Verdana" w:hAnsi="Verdana"/>
          <w:sz w:val="18"/>
          <w:szCs w:val="18"/>
        </w:rPr>
      </w:pPr>
      <w:r w:rsidRPr="00F50FE0">
        <w:rPr>
          <w:rFonts w:ascii="Verdana" w:hAnsi="Verdana"/>
          <w:sz w:val="18"/>
          <w:szCs w:val="18"/>
        </w:rPr>
        <w:t>These two rating scales--one completed by the teacher, one by the parent--are used to screen 5- to 12-year-olds for symptoms of common childhood psychiatric disorders. Based on DSM-IV diagnostic criteria, these scales assist both educators and clinicians. They give schools a cost-effective way to convey clinically relevant information about the students they refer for evaluation or special services. And they give clinicians useful diagnostic information from parents and teachers. Completed and scored before the child sees the clinician, the CSI-4 makes it easier to conduct a focused, efficient interview, detect comorbid conditions, and make differential diagnoses.</w:t>
      </w:r>
    </w:p>
    <w:p w:rsidR="00F50FE0" w:rsidRPr="00F50FE0" w:rsidRDefault="00F50FE0" w:rsidP="00F50FE0">
      <w:pPr>
        <w:spacing w:after="0"/>
        <w:rPr>
          <w:rFonts w:ascii="Verdana" w:hAnsi="Verdana"/>
          <w:sz w:val="18"/>
          <w:szCs w:val="18"/>
        </w:rPr>
      </w:pPr>
      <w:r w:rsidRPr="00F50FE0">
        <w:rPr>
          <w:rFonts w:ascii="Verdana" w:hAnsi="Verdana"/>
          <w:sz w:val="18"/>
          <w:szCs w:val="18"/>
        </w:rPr>
        <w:t>The inventory offers both criterion-related cut-off scores and norm-based scores for determining symptom severity (low, moderate, or high, based on teacher and parent ratings of 6- to 12-year-olds).</w:t>
      </w:r>
    </w:p>
    <w:p w:rsidR="00F50FE0" w:rsidRPr="00F50FE0" w:rsidRDefault="00F50FE0" w:rsidP="00F50FE0">
      <w:pPr>
        <w:spacing w:after="0"/>
        <w:rPr>
          <w:rFonts w:ascii="Verdana" w:hAnsi="Verdana"/>
          <w:sz w:val="18"/>
          <w:szCs w:val="18"/>
        </w:rPr>
      </w:pPr>
      <w:r w:rsidRPr="00F50FE0">
        <w:rPr>
          <w:rFonts w:ascii="Verdana" w:hAnsi="Verdana"/>
          <w:sz w:val="18"/>
          <w:szCs w:val="18"/>
        </w:rPr>
        <w:t>A practical alternative to expensive, time-consuming psychiatric interviews, the CSI-4 lists symptoms of emotional and behavioral disorders specified in the Individuals with Disabilities Education Act (IDEA):</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 </w:t>
      </w:r>
    </w:p>
    <w:p w:rsidR="00F50FE0" w:rsidRPr="00F50FE0" w:rsidRDefault="00F50FE0" w:rsidP="00F50FE0">
      <w:pPr>
        <w:spacing w:after="0"/>
        <w:rPr>
          <w:rFonts w:ascii="Verdana" w:hAnsi="Verdana"/>
          <w:sz w:val="18"/>
          <w:szCs w:val="18"/>
        </w:rPr>
      </w:pPr>
      <w:r>
        <w:rPr>
          <w:rFonts w:ascii="Verdana" w:hAnsi="Verdana"/>
          <w:sz w:val="18"/>
          <w:szCs w:val="18"/>
        </w:rPr>
        <w:t xml:space="preserve"> </w:t>
      </w:r>
      <w:r w:rsidRPr="00F50FE0">
        <w:rPr>
          <w:rFonts w:ascii="Verdana" w:hAnsi="Verdana"/>
          <w:sz w:val="18"/>
          <w:szCs w:val="18"/>
        </w:rPr>
        <w:t xml:space="preserve">ADHD </w:t>
      </w:r>
      <w:r w:rsidRPr="00F50FE0">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Dysthymia</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Oppositional Defiant Disorder </w:t>
      </w:r>
      <w:r w:rsidRPr="00F50FE0">
        <w:rPr>
          <w:rFonts w:ascii="Verdana" w:hAnsi="Verdana"/>
          <w:sz w:val="18"/>
          <w:szCs w:val="18"/>
        </w:rPr>
        <w:tab/>
      </w:r>
      <w:r>
        <w:rPr>
          <w:rFonts w:ascii="Verdana" w:hAnsi="Verdana"/>
          <w:sz w:val="18"/>
          <w:szCs w:val="18"/>
        </w:rPr>
        <w:tab/>
      </w:r>
      <w:r w:rsidRPr="00F50FE0">
        <w:rPr>
          <w:rFonts w:ascii="Verdana" w:hAnsi="Verdana"/>
          <w:sz w:val="18"/>
          <w:szCs w:val="18"/>
        </w:rPr>
        <w:t>Asperger's Syndrome</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Conduct Disorder </w:t>
      </w:r>
      <w:r w:rsidRPr="00F50FE0">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Pervasive Developmental Disorder</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Separation Anxiety </w:t>
      </w:r>
      <w:r w:rsidRPr="00F50FE0">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Schizophrenia</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Generalized Anxiety </w:t>
      </w:r>
      <w:r w:rsidRPr="00F50FE0">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 xml:space="preserve">Obsessive-Compulsive Disorder </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Social Phobia </w:t>
      </w:r>
      <w:r w:rsidRPr="00F50FE0">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Posttraumatic Stress Disorder</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Specific Phobia </w:t>
      </w:r>
      <w:r w:rsidRPr="00F50FE0">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Motor Tic Disorder</w:t>
      </w:r>
    </w:p>
    <w:p w:rsidR="00F50FE0" w:rsidRPr="00F50FE0" w:rsidRDefault="00F50FE0" w:rsidP="00F50FE0">
      <w:pPr>
        <w:spacing w:after="0"/>
        <w:rPr>
          <w:rFonts w:ascii="Verdana" w:hAnsi="Verdana"/>
          <w:sz w:val="18"/>
          <w:szCs w:val="18"/>
        </w:rPr>
      </w:pPr>
      <w:r w:rsidRPr="00F50FE0">
        <w:rPr>
          <w:rFonts w:ascii="Verdana" w:hAnsi="Verdana"/>
          <w:sz w:val="18"/>
          <w:szCs w:val="18"/>
        </w:rPr>
        <w:t xml:space="preserve">Depression </w:t>
      </w:r>
      <w:r w:rsidRPr="00F50FE0">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50FE0">
        <w:rPr>
          <w:rFonts w:ascii="Verdana" w:hAnsi="Verdana"/>
          <w:sz w:val="18"/>
          <w:szCs w:val="18"/>
        </w:rPr>
        <w:t>Vocal Tic Disorder</w:t>
      </w:r>
    </w:p>
    <w:p w:rsidR="00F50FE0" w:rsidRDefault="00F50FE0" w:rsidP="00F50FE0">
      <w:pPr>
        <w:spacing w:after="0"/>
        <w:rPr>
          <w:rFonts w:ascii="Verdana" w:hAnsi="Verdana"/>
          <w:sz w:val="18"/>
          <w:szCs w:val="18"/>
        </w:rPr>
      </w:pPr>
    </w:p>
    <w:p w:rsidR="00F50FE0" w:rsidRPr="00F50FE0" w:rsidRDefault="00F50FE0" w:rsidP="00F50FE0">
      <w:pPr>
        <w:spacing w:after="0"/>
        <w:rPr>
          <w:rFonts w:ascii="Verdana" w:hAnsi="Verdana"/>
          <w:sz w:val="18"/>
          <w:szCs w:val="18"/>
        </w:rPr>
      </w:pPr>
      <w:r w:rsidRPr="00F50FE0">
        <w:rPr>
          <w:rFonts w:ascii="Verdana" w:hAnsi="Verdana"/>
          <w:sz w:val="18"/>
          <w:szCs w:val="18"/>
        </w:rPr>
        <w:lastRenderedPageBreak/>
        <w:t>The Parent Checklist contains 97 items covering 17 disorders, while the Teacher Checklist contains 77 items related to 13 disorders. The teacher or parent rates each item on a 4-point response scale, indicating how often the symptom is observed in the child being evaluated. Responses are scored for symptom count and symptom severity. These two scores are compared to determine whether the child should be evaluated further.</w:t>
      </w:r>
    </w:p>
    <w:p w:rsidR="00F50FE0" w:rsidRPr="00F50FE0" w:rsidRDefault="00F50FE0" w:rsidP="00F50FE0">
      <w:pPr>
        <w:spacing w:after="0"/>
        <w:rPr>
          <w:rFonts w:ascii="Verdana" w:hAnsi="Verdana"/>
          <w:sz w:val="18"/>
          <w:szCs w:val="18"/>
        </w:rPr>
      </w:pPr>
      <w:r w:rsidRPr="00F50FE0">
        <w:rPr>
          <w:rFonts w:ascii="Verdana" w:hAnsi="Verdana"/>
          <w:sz w:val="18"/>
          <w:szCs w:val="18"/>
        </w:rPr>
        <w:t>The Checklists can also be computer scored. CSI-4 Software prints three reports: raw scores, scores above the cutoff, and a narrative describing the disorders associated with above-cutoff scores. These reports can be printed or sent to a text file for editing.</w:t>
      </w:r>
    </w:p>
    <w:p w:rsidR="00F50FE0" w:rsidRPr="00F50FE0" w:rsidRDefault="00F50FE0" w:rsidP="00F50FE0">
      <w:pPr>
        <w:spacing w:after="0"/>
        <w:rPr>
          <w:rFonts w:ascii="Verdana" w:hAnsi="Verdana"/>
          <w:sz w:val="18"/>
          <w:szCs w:val="18"/>
        </w:rPr>
      </w:pPr>
      <w:r w:rsidRPr="00F50FE0">
        <w:rPr>
          <w:rFonts w:ascii="Verdana" w:hAnsi="Verdana"/>
          <w:sz w:val="18"/>
          <w:szCs w:val="18"/>
        </w:rPr>
        <w:t>Completed in just 10 minutes, the CSI-4 integrates medical and educational classification systems. It gathers information from parents and teachers in a way that's compatible with the diagnostic system used by physicians and psychologists. This improves communication between the school and the mental health practitioner, and it provides the basis for a DSM-IV diagnosis--often required for reimbursement.</w:t>
      </w:r>
    </w:p>
    <w:p w:rsidR="00F50FE0" w:rsidRDefault="00F50FE0" w:rsidP="00F50FE0">
      <w:pPr>
        <w:spacing w:after="0"/>
        <w:rPr>
          <w:rFonts w:ascii="Verdana" w:hAnsi="Verdana"/>
          <w:sz w:val="18"/>
          <w:szCs w:val="18"/>
        </w:rPr>
      </w:pPr>
    </w:p>
    <w:p w:rsidR="00F50FE0" w:rsidRPr="00942B68" w:rsidRDefault="00F50FE0" w:rsidP="00942B68">
      <w:pPr>
        <w:tabs>
          <w:tab w:val="left" w:pos="2190"/>
        </w:tabs>
        <w:spacing w:after="0"/>
        <w:rPr>
          <w:rFonts w:ascii="Verdana" w:hAnsi="Verdana"/>
          <w:b/>
          <w:bCs/>
          <w:i/>
          <w:iCs/>
          <w:sz w:val="18"/>
          <w:szCs w:val="18"/>
        </w:rPr>
      </w:pPr>
      <w:r w:rsidRPr="00942B68">
        <w:rPr>
          <w:rFonts w:ascii="Verdana" w:hAnsi="Verdana"/>
          <w:b/>
          <w:bCs/>
          <w:i/>
          <w:iCs/>
          <w:sz w:val="18"/>
          <w:szCs w:val="18"/>
        </w:rPr>
        <w:t>Component</w:t>
      </w:r>
      <w:r w:rsidR="00942B68">
        <w:rPr>
          <w:rFonts w:ascii="Verdana" w:hAnsi="Verdana"/>
          <w:b/>
          <w:bCs/>
          <w:i/>
          <w:iCs/>
          <w:sz w:val="18"/>
          <w:szCs w:val="18"/>
        </w:rPr>
        <w:tab/>
        <w:t>:</w:t>
      </w:r>
    </w:p>
    <w:p w:rsidR="00942B68" w:rsidRPr="00F50FE0" w:rsidRDefault="00942B68" w:rsidP="00F50FE0">
      <w:pPr>
        <w:spacing w:after="0"/>
        <w:rPr>
          <w:rFonts w:ascii="Verdana" w:hAnsi="Verdana"/>
          <w:sz w:val="18"/>
          <w:szCs w:val="18"/>
        </w:rPr>
      </w:pPr>
    </w:p>
    <w:p w:rsidR="00F50FE0" w:rsidRPr="00F50FE0" w:rsidRDefault="00F50FE0" w:rsidP="00F50FE0">
      <w:pPr>
        <w:spacing w:after="0"/>
        <w:rPr>
          <w:rFonts w:ascii="Verdana" w:hAnsi="Verdana"/>
          <w:sz w:val="18"/>
          <w:szCs w:val="18"/>
        </w:rPr>
      </w:pPr>
      <w:r w:rsidRPr="00F50FE0">
        <w:rPr>
          <w:rFonts w:ascii="Verdana" w:hAnsi="Verdana"/>
          <w:sz w:val="18"/>
          <w:szCs w:val="18"/>
        </w:rPr>
        <w:t>KIT: Includes 25 Parent Checklists; 25 Teacher Checklists; 50 Score Sheets; 50 Symptom Severity Profiles; Manual; 5-use Scoring CD</w:t>
      </w:r>
    </w:p>
    <w:p w:rsidR="00F50FE0" w:rsidRPr="00F50FE0" w:rsidRDefault="00F50FE0" w:rsidP="00F50FE0">
      <w:pPr>
        <w:spacing w:after="0"/>
        <w:rPr>
          <w:rFonts w:ascii="Verdana" w:hAnsi="Verdana"/>
          <w:sz w:val="18"/>
          <w:szCs w:val="18"/>
        </w:rPr>
      </w:pPr>
      <w:r w:rsidRPr="00F50FE0">
        <w:rPr>
          <w:rFonts w:ascii="Verdana" w:hAnsi="Verdana"/>
          <w:sz w:val="18"/>
          <w:szCs w:val="18"/>
        </w:rPr>
        <w:tab/>
      </w:r>
    </w:p>
    <w:p w:rsidR="00F50FE0" w:rsidRPr="00F50FE0" w:rsidRDefault="00F50FE0" w:rsidP="00F50FE0">
      <w:pPr>
        <w:spacing w:after="0"/>
        <w:rPr>
          <w:rFonts w:ascii="Verdana" w:hAnsi="Verdana"/>
          <w:sz w:val="18"/>
          <w:szCs w:val="18"/>
        </w:rPr>
      </w:pPr>
      <w:r w:rsidRPr="00F50FE0">
        <w:rPr>
          <w:rFonts w:ascii="Verdana" w:hAnsi="Verdana"/>
          <w:sz w:val="18"/>
          <w:szCs w:val="18"/>
        </w:rPr>
        <w:tab/>
      </w:r>
    </w:p>
    <w:sectPr w:rsidR="00F50FE0" w:rsidRPr="00F50FE0" w:rsidSect="000264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7D31"/>
    <w:rsid w:val="000264F3"/>
    <w:rsid w:val="001F6A9E"/>
    <w:rsid w:val="00942B68"/>
    <w:rsid w:val="00B07D31"/>
    <w:rsid w:val="00F50FE0"/>
  </w:rsids>
  <m:mathPr>
    <m:mathFont m:val="Cambria Math"/>
    <m:brkBin m:val="before"/>
    <m:brkBinSub m:val="--"/>
    <m:smallFrac m:val="off"/>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0F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FE0"/>
    <w:rPr>
      <w:b/>
      <w:bCs/>
    </w:rPr>
  </w:style>
  <w:style w:type="character" w:styleId="Hyperlink">
    <w:name w:val="Hyperlink"/>
    <w:basedOn w:val="DefaultParagraphFont"/>
    <w:uiPriority w:val="99"/>
    <w:semiHidden/>
    <w:unhideWhenUsed/>
    <w:rsid w:val="00F50FE0"/>
    <w:rPr>
      <w:color w:val="0000FF"/>
      <w:u w:val="single"/>
    </w:rPr>
  </w:style>
  <w:style w:type="paragraph" w:styleId="BalloonText">
    <w:name w:val="Balloon Text"/>
    <w:basedOn w:val="Normal"/>
    <w:link w:val="BalloonTextChar"/>
    <w:uiPriority w:val="99"/>
    <w:semiHidden/>
    <w:unhideWhenUsed/>
    <w:rsid w:val="00F50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3464">
      <w:bodyDiv w:val="1"/>
      <w:marLeft w:val="0"/>
      <w:marRight w:val="0"/>
      <w:marTop w:val="0"/>
      <w:marBottom w:val="0"/>
      <w:divBdr>
        <w:top w:val="none" w:sz="0" w:space="0" w:color="auto"/>
        <w:left w:val="none" w:sz="0" w:space="0" w:color="auto"/>
        <w:bottom w:val="none" w:sz="0" w:space="0" w:color="auto"/>
        <w:right w:val="none" w:sz="0" w:space="0" w:color="auto"/>
      </w:divBdr>
    </w:div>
    <w:div w:id="445540983">
      <w:bodyDiv w:val="1"/>
      <w:marLeft w:val="0"/>
      <w:marRight w:val="0"/>
      <w:marTop w:val="0"/>
      <w:marBottom w:val="0"/>
      <w:divBdr>
        <w:top w:val="none" w:sz="0" w:space="0" w:color="auto"/>
        <w:left w:val="none" w:sz="0" w:space="0" w:color="auto"/>
        <w:bottom w:val="none" w:sz="0" w:space="0" w:color="auto"/>
        <w:right w:val="none" w:sz="0" w:space="0" w:color="auto"/>
      </w:divBdr>
    </w:div>
    <w:div w:id="8010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453" TargetMode="External"/><Relationship Id="rId3" Type="http://schemas.openxmlformats.org/officeDocument/2006/relationships/webSettings" Target="webSettings.xml"/><Relationship Id="rId7" Type="http://schemas.openxmlformats.org/officeDocument/2006/relationships/hyperlink" Target="http://portal.wpspublish.com/pls/portal/url/page/wps/CKT-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wpspublish.com/pls/portal/url/page/wps/CKT-501"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2726</Characters>
  <Application>Microsoft Office Word</Application>
  <DocSecurity>0</DocSecurity>
  <Lines>22</Lines>
  <Paragraphs>6</Paragraphs>
  <ScaleCrop>false</ScaleCrop>
  <Company>Home</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MIKHEL REYES</cp:lastModifiedBy>
  <cp:revision>3</cp:revision>
  <dcterms:created xsi:type="dcterms:W3CDTF">2010-03-15T08:53:00Z</dcterms:created>
  <dcterms:modified xsi:type="dcterms:W3CDTF">2010-04-22T08:52:00Z</dcterms:modified>
</cp:coreProperties>
</file>