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244"/>
        <w:gridCol w:w="2116"/>
      </w:tblGrid>
      <w:tr w:rsidR="00B170F4" w:rsidRPr="00B170F4" w:rsidTr="00B170F4">
        <w:trPr>
          <w:tblCellSpacing w:w="0" w:type="dxa"/>
        </w:trPr>
        <w:tc>
          <w:tcPr>
            <w:tcW w:w="13500" w:type="dxa"/>
            <w:hideMark/>
          </w:tcPr>
          <w:tbl>
            <w:tblPr>
              <w:tblW w:w="5000" w:type="pct"/>
              <w:tblCellSpacing w:w="0" w:type="dxa"/>
              <w:tblCellMar>
                <w:left w:w="0" w:type="dxa"/>
                <w:right w:w="0" w:type="dxa"/>
              </w:tblCellMar>
              <w:tblLook w:val="04A0"/>
            </w:tblPr>
            <w:tblGrid>
              <w:gridCol w:w="7094"/>
              <w:gridCol w:w="150"/>
            </w:tblGrid>
            <w:tr w:rsidR="00B170F4" w:rsidRPr="00B170F4">
              <w:trPr>
                <w:tblCellSpacing w:w="0" w:type="dxa"/>
              </w:trPr>
              <w:tc>
                <w:tcPr>
                  <w:tcW w:w="5000" w:type="pct"/>
                  <w:hideMark/>
                </w:tcPr>
                <w:p w:rsidR="00B170F4" w:rsidRPr="00B170F4" w:rsidRDefault="00B170F4" w:rsidP="00B170F4">
                  <w:pPr>
                    <w:spacing w:after="0" w:line="240" w:lineRule="auto"/>
                    <w:rPr>
                      <w:rFonts w:ascii="Verdana" w:eastAsia="Times New Roman" w:hAnsi="Verdana" w:cs="Times New Roman"/>
                      <w:sz w:val="18"/>
                      <w:szCs w:val="18"/>
                    </w:rPr>
                  </w:pPr>
                  <w:proofErr w:type="spellStart"/>
                  <w:r w:rsidRPr="00B170F4">
                    <w:rPr>
                      <w:rFonts w:ascii="Verdana" w:eastAsia="Times New Roman" w:hAnsi="Verdana" w:cs="Arial"/>
                      <w:b/>
                      <w:bCs/>
                      <w:color w:val="AD6D10"/>
                      <w:sz w:val="18"/>
                      <w:szCs w:val="18"/>
                    </w:rPr>
                    <w:t>Conners</w:t>
                  </w:r>
                  <w:proofErr w:type="spellEnd"/>
                  <w:r w:rsidRPr="00B170F4">
                    <w:rPr>
                      <w:rFonts w:ascii="Verdana" w:eastAsia="Times New Roman" w:hAnsi="Verdana" w:cs="Arial"/>
                      <w:b/>
                      <w:bCs/>
                      <w:color w:val="AD6D10"/>
                      <w:sz w:val="18"/>
                      <w:szCs w:val="18"/>
                    </w:rPr>
                    <w:t xml:space="preserve"> Comprehensive Behavior Rating Scales (</w:t>
                  </w:r>
                  <w:proofErr w:type="spellStart"/>
                  <w:r w:rsidRPr="00B170F4">
                    <w:rPr>
                      <w:rFonts w:ascii="Verdana" w:eastAsia="Times New Roman" w:hAnsi="Verdana" w:cs="Arial"/>
                      <w:b/>
                      <w:bCs/>
                      <w:color w:val="AD6D10"/>
                      <w:sz w:val="18"/>
                      <w:szCs w:val="18"/>
                    </w:rPr>
                    <w:t>Conners</w:t>
                  </w:r>
                  <w:proofErr w:type="spellEnd"/>
                  <w:r w:rsidRPr="00B170F4">
                    <w:rPr>
                      <w:rFonts w:ascii="Verdana" w:eastAsia="Times New Roman" w:hAnsi="Verdana" w:cs="Arial"/>
                      <w:b/>
                      <w:bCs/>
                      <w:color w:val="AD6D10"/>
                      <w:sz w:val="18"/>
                      <w:szCs w:val="18"/>
                    </w:rPr>
                    <w:t xml:space="preserve"> CBRS)</w:t>
                  </w:r>
                </w:p>
              </w:tc>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170F4" w:rsidRPr="00B170F4">
              <w:trPr>
                <w:tblCellSpacing w:w="0" w:type="dxa"/>
              </w:trPr>
              <w:tc>
                <w:tcPr>
                  <w:tcW w:w="5000" w:type="pct"/>
                  <w:gridSpan w:val="2"/>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170F4" w:rsidRPr="00B170F4" w:rsidRDefault="00B170F4" w:rsidP="00B170F4">
            <w:pPr>
              <w:spacing w:after="0" w:line="240" w:lineRule="auto"/>
              <w:rPr>
                <w:rFonts w:ascii="Verdana" w:eastAsia="Times New Roman" w:hAnsi="Verdana" w:cs="Times New Roman"/>
                <w:sz w:val="18"/>
                <w:szCs w:val="18"/>
              </w:rPr>
            </w:pPr>
          </w:p>
        </w:tc>
        <w:tc>
          <w:tcPr>
            <w:tcW w:w="4500" w:type="dxa"/>
            <w:hideMark/>
          </w:tcPr>
          <w:tbl>
            <w:tblPr>
              <w:tblW w:w="5000" w:type="pct"/>
              <w:tblCellSpacing w:w="0" w:type="dxa"/>
              <w:tblCellMar>
                <w:left w:w="0" w:type="dxa"/>
                <w:right w:w="0" w:type="dxa"/>
              </w:tblCellMar>
              <w:tblLook w:val="04A0"/>
            </w:tblPr>
            <w:tblGrid>
              <w:gridCol w:w="2116"/>
            </w:tblGrid>
            <w:tr w:rsidR="00B170F4" w:rsidRPr="00B170F4">
              <w:trPr>
                <w:tblCellSpacing w:w="0" w:type="dxa"/>
              </w:trPr>
              <w:tc>
                <w:tcPr>
                  <w:tcW w:w="0" w:type="auto"/>
                  <w:vAlign w:val="center"/>
                  <w:hideMark/>
                </w:tcPr>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9360"/>
      </w:tblGrid>
      <w:tr w:rsidR="00B170F4" w:rsidRPr="00B170F4" w:rsidTr="00B170F4">
        <w:trPr>
          <w:tblCellSpacing w:w="0" w:type="dxa"/>
        </w:trPr>
        <w:tc>
          <w:tcPr>
            <w:tcW w:w="0" w:type="auto"/>
            <w:vAlign w:val="center"/>
            <w:hideMark/>
          </w:tcPr>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7294"/>
        <w:gridCol w:w="2066"/>
      </w:tblGrid>
      <w:tr w:rsidR="00B170F4" w:rsidRPr="00B170F4" w:rsidTr="00B170F4">
        <w:trPr>
          <w:tblCellSpacing w:w="0" w:type="dxa"/>
        </w:trPr>
        <w:tc>
          <w:tcPr>
            <w:tcW w:w="12000" w:type="dxa"/>
            <w:hideMark/>
          </w:tcPr>
          <w:tbl>
            <w:tblPr>
              <w:tblW w:w="5000" w:type="pct"/>
              <w:tblCellSpacing w:w="0" w:type="dxa"/>
              <w:tblCellMar>
                <w:left w:w="0" w:type="dxa"/>
                <w:right w:w="0" w:type="dxa"/>
              </w:tblCellMar>
              <w:tblLook w:val="04A0"/>
            </w:tblPr>
            <w:tblGrid>
              <w:gridCol w:w="150"/>
              <w:gridCol w:w="6994"/>
              <w:gridCol w:w="150"/>
            </w:tblGrid>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170F4" w:rsidRPr="00B170F4">
              <w:trPr>
                <w:tblCellSpacing w:w="0" w:type="dxa"/>
              </w:trPr>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pPr w:leftFromText="180" w:rightFromText="180" w:vertAnchor="text" w:horzAnchor="page" w:tblpX="3631" w:tblpY="873"/>
                    <w:tblOverlap w:val="never"/>
                    <w:tblW w:w="4530" w:type="dxa"/>
                    <w:tblCellMar>
                      <w:left w:w="0" w:type="dxa"/>
                      <w:right w:w="0" w:type="dxa"/>
                    </w:tblCellMar>
                    <w:tblLook w:val="04A0"/>
                  </w:tblPr>
                  <w:tblGrid>
                    <w:gridCol w:w="1582"/>
                    <w:gridCol w:w="2948"/>
                  </w:tblGrid>
                  <w:tr w:rsidR="00B170F4" w:rsidRPr="00B170F4" w:rsidTr="00B25C29">
                    <w:tc>
                      <w:tcPr>
                        <w:tcW w:w="1582" w:type="dxa"/>
                        <w:tcMar>
                          <w:top w:w="40" w:type="dxa"/>
                          <w:left w:w="40" w:type="dxa"/>
                          <w:bottom w:w="40" w:type="dxa"/>
                          <w:right w:w="40" w:type="dxa"/>
                        </w:tcMar>
                        <w:hideMark/>
                      </w:tcPr>
                      <w:p w:rsidR="00B170F4" w:rsidRPr="00B170F4" w:rsidRDefault="00B170F4" w:rsidP="00B170F4">
                        <w:pPr>
                          <w:spacing w:after="0" w:line="240" w:lineRule="auto"/>
                          <w:jc w:val="right"/>
                          <w:rPr>
                            <w:rFonts w:ascii="Verdana" w:eastAsia="Times New Roman" w:hAnsi="Verdana" w:cs="Times New Roman"/>
                            <w:sz w:val="18"/>
                            <w:szCs w:val="18"/>
                          </w:rPr>
                        </w:pPr>
                        <w:r w:rsidRPr="00B170F4">
                          <w:rPr>
                            <w:rFonts w:ascii="Verdana" w:eastAsia="Times New Roman" w:hAnsi="Verdana" w:cs="Arial"/>
                            <w:b/>
                            <w:bCs/>
                            <w:sz w:val="18"/>
                            <w:szCs w:val="18"/>
                          </w:rPr>
                          <w:t>Benefit:</w:t>
                        </w:r>
                      </w:p>
                    </w:tc>
                    <w:tc>
                      <w:tcPr>
                        <w:tcW w:w="2948" w:type="dxa"/>
                        <w:tcMar>
                          <w:top w:w="40" w:type="dxa"/>
                          <w:left w:w="40" w:type="dxa"/>
                          <w:bottom w:w="40" w:type="dxa"/>
                          <w:right w:w="40" w:type="dxa"/>
                        </w:tcMar>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Arial"/>
                            <w:sz w:val="18"/>
                            <w:szCs w:val="18"/>
                          </w:rPr>
                          <w:t>Assesses a multitude of disorders and problems affecting children and teens--providing teacher, parent, and student perspectives</w:t>
                        </w:r>
                      </w:p>
                    </w:tc>
                  </w:tr>
                  <w:tr w:rsidR="00B170F4" w:rsidRPr="00B170F4" w:rsidTr="00B25C29">
                    <w:tc>
                      <w:tcPr>
                        <w:tcW w:w="1582" w:type="dxa"/>
                        <w:tcMar>
                          <w:top w:w="40" w:type="dxa"/>
                          <w:left w:w="40" w:type="dxa"/>
                          <w:bottom w:w="40" w:type="dxa"/>
                          <w:right w:w="40" w:type="dxa"/>
                        </w:tcMar>
                        <w:hideMark/>
                      </w:tcPr>
                      <w:p w:rsidR="00B170F4" w:rsidRPr="00B170F4" w:rsidRDefault="00B170F4" w:rsidP="00B170F4">
                        <w:pPr>
                          <w:spacing w:after="0" w:line="240" w:lineRule="auto"/>
                          <w:jc w:val="right"/>
                          <w:rPr>
                            <w:rFonts w:ascii="Verdana" w:eastAsia="Times New Roman" w:hAnsi="Verdana" w:cs="Times New Roman"/>
                            <w:sz w:val="18"/>
                            <w:szCs w:val="18"/>
                          </w:rPr>
                        </w:pPr>
                        <w:r w:rsidRPr="00B170F4">
                          <w:rPr>
                            <w:rFonts w:ascii="Verdana" w:eastAsia="Times New Roman" w:hAnsi="Verdana" w:cs="Arial"/>
                            <w:b/>
                            <w:bCs/>
                            <w:sz w:val="18"/>
                            <w:szCs w:val="18"/>
                          </w:rPr>
                          <w:t>Ages / Grade:</w:t>
                        </w:r>
                      </w:p>
                    </w:tc>
                    <w:tc>
                      <w:tcPr>
                        <w:tcW w:w="2948" w:type="dxa"/>
                        <w:tcMar>
                          <w:top w:w="40" w:type="dxa"/>
                          <w:left w:w="40" w:type="dxa"/>
                          <w:bottom w:w="40" w:type="dxa"/>
                          <w:right w:w="40" w:type="dxa"/>
                        </w:tcMar>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Arial"/>
                            <w:sz w:val="18"/>
                            <w:szCs w:val="18"/>
                          </w:rPr>
                          <w:t>6 through 18 years for teacher and parent forms; 8 through 18 years for self-report form</w:t>
                        </w:r>
                      </w:p>
                    </w:tc>
                  </w:tr>
                  <w:tr w:rsidR="00B170F4" w:rsidRPr="00B170F4" w:rsidTr="00B25C29">
                    <w:tc>
                      <w:tcPr>
                        <w:tcW w:w="1582" w:type="dxa"/>
                        <w:tcMar>
                          <w:top w:w="40" w:type="dxa"/>
                          <w:left w:w="40" w:type="dxa"/>
                          <w:bottom w:w="40" w:type="dxa"/>
                          <w:right w:w="40" w:type="dxa"/>
                        </w:tcMar>
                        <w:hideMark/>
                      </w:tcPr>
                      <w:p w:rsidR="00B170F4" w:rsidRPr="00B170F4" w:rsidRDefault="00B170F4" w:rsidP="00B170F4">
                        <w:pPr>
                          <w:spacing w:after="0" w:line="240" w:lineRule="auto"/>
                          <w:jc w:val="right"/>
                          <w:rPr>
                            <w:rFonts w:ascii="Verdana" w:eastAsia="Times New Roman" w:hAnsi="Verdana" w:cs="Times New Roman"/>
                            <w:sz w:val="18"/>
                            <w:szCs w:val="18"/>
                          </w:rPr>
                        </w:pPr>
                        <w:r w:rsidRPr="00B170F4">
                          <w:rPr>
                            <w:rFonts w:ascii="Verdana" w:eastAsia="Times New Roman" w:hAnsi="Verdana" w:cs="Arial"/>
                            <w:b/>
                            <w:bCs/>
                            <w:sz w:val="18"/>
                            <w:szCs w:val="18"/>
                          </w:rPr>
                          <w:t>Administration Time:</w:t>
                        </w:r>
                      </w:p>
                    </w:tc>
                    <w:tc>
                      <w:tcPr>
                        <w:tcW w:w="2948" w:type="dxa"/>
                        <w:tcMar>
                          <w:top w:w="40" w:type="dxa"/>
                          <w:left w:w="40" w:type="dxa"/>
                          <w:bottom w:w="40" w:type="dxa"/>
                          <w:right w:w="40" w:type="dxa"/>
                        </w:tcMar>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Arial"/>
                            <w:sz w:val="18"/>
                            <w:szCs w:val="18"/>
                          </w:rPr>
                          <w:t>20 minutes; less than 5 minutes for Clinical Index</w:t>
                        </w:r>
                      </w:p>
                    </w:tc>
                  </w:tr>
                  <w:tr w:rsidR="00B170F4" w:rsidRPr="00B170F4" w:rsidTr="00B25C29">
                    <w:tc>
                      <w:tcPr>
                        <w:tcW w:w="1582" w:type="dxa"/>
                        <w:tcMar>
                          <w:top w:w="40" w:type="dxa"/>
                          <w:left w:w="40" w:type="dxa"/>
                          <w:bottom w:w="40" w:type="dxa"/>
                          <w:right w:w="40" w:type="dxa"/>
                        </w:tcMar>
                        <w:hideMark/>
                      </w:tcPr>
                      <w:p w:rsidR="00B170F4" w:rsidRPr="00B170F4" w:rsidRDefault="00B170F4" w:rsidP="00B170F4">
                        <w:pPr>
                          <w:spacing w:after="0" w:line="240" w:lineRule="auto"/>
                          <w:jc w:val="right"/>
                          <w:rPr>
                            <w:rFonts w:ascii="Verdana" w:eastAsia="Times New Roman" w:hAnsi="Verdana" w:cs="Times New Roman"/>
                            <w:sz w:val="18"/>
                            <w:szCs w:val="18"/>
                          </w:rPr>
                        </w:pPr>
                        <w:r w:rsidRPr="00B170F4">
                          <w:rPr>
                            <w:rFonts w:ascii="Verdana" w:eastAsia="Times New Roman" w:hAnsi="Verdana" w:cs="Arial"/>
                            <w:b/>
                            <w:bCs/>
                            <w:sz w:val="18"/>
                            <w:szCs w:val="18"/>
                          </w:rPr>
                          <w:t>Format:</w:t>
                        </w:r>
                      </w:p>
                    </w:tc>
                    <w:tc>
                      <w:tcPr>
                        <w:tcW w:w="2948" w:type="dxa"/>
                        <w:tcMar>
                          <w:top w:w="40" w:type="dxa"/>
                          <w:left w:w="40" w:type="dxa"/>
                          <w:bottom w:w="40" w:type="dxa"/>
                          <w:right w:w="40" w:type="dxa"/>
                        </w:tcMar>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Arial"/>
                            <w:sz w:val="18"/>
                            <w:szCs w:val="18"/>
                          </w:rPr>
                          <w:t>Teacher, parent, and self-report rating scales</w:t>
                        </w:r>
                      </w:p>
                    </w:tc>
                  </w:tr>
                  <w:tr w:rsidR="00B170F4" w:rsidRPr="00B170F4" w:rsidTr="00B25C29">
                    <w:tc>
                      <w:tcPr>
                        <w:tcW w:w="1582" w:type="dxa"/>
                        <w:tcMar>
                          <w:top w:w="40" w:type="dxa"/>
                          <w:left w:w="40" w:type="dxa"/>
                          <w:bottom w:w="40" w:type="dxa"/>
                          <w:right w:w="40" w:type="dxa"/>
                        </w:tcMar>
                        <w:hideMark/>
                      </w:tcPr>
                      <w:p w:rsidR="00B170F4" w:rsidRPr="00B170F4" w:rsidRDefault="00B170F4" w:rsidP="00B170F4">
                        <w:pPr>
                          <w:spacing w:after="0" w:line="240" w:lineRule="auto"/>
                          <w:jc w:val="right"/>
                          <w:rPr>
                            <w:rFonts w:ascii="Verdana" w:eastAsia="Times New Roman" w:hAnsi="Verdana" w:cs="Times New Roman"/>
                            <w:sz w:val="18"/>
                            <w:szCs w:val="18"/>
                          </w:rPr>
                        </w:pPr>
                        <w:r w:rsidRPr="00B170F4">
                          <w:rPr>
                            <w:rFonts w:ascii="Verdana" w:eastAsia="Times New Roman" w:hAnsi="Verdana" w:cs="Arial"/>
                            <w:b/>
                            <w:bCs/>
                            <w:sz w:val="18"/>
                            <w:szCs w:val="18"/>
                          </w:rPr>
                          <w:t xml:space="preserve">Norms: </w:t>
                        </w:r>
                      </w:p>
                    </w:tc>
                    <w:tc>
                      <w:tcPr>
                        <w:tcW w:w="2948" w:type="dxa"/>
                        <w:tcMar>
                          <w:top w:w="40" w:type="dxa"/>
                          <w:left w:w="40" w:type="dxa"/>
                          <w:bottom w:w="40" w:type="dxa"/>
                          <w:right w:w="40" w:type="dxa"/>
                        </w:tcMar>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Arial"/>
                            <w:sz w:val="18"/>
                            <w:szCs w:val="18"/>
                          </w:rPr>
                          <w:t>Sex-specific, age-stratified norms based on a large, nationally representative sample</w:t>
                        </w:r>
                      </w:p>
                    </w:tc>
                  </w:tr>
                </w:tbl>
                <w:p w:rsidR="00B170F4" w:rsidRDefault="00B170F4" w:rsidP="00B170F4">
                  <w:pPr>
                    <w:spacing w:after="0" w:line="240" w:lineRule="auto"/>
                    <w:rPr>
                      <w:rFonts w:ascii="Verdana" w:eastAsia="Times New Roman" w:hAnsi="Verdana" w:cs="Arial"/>
                      <w:sz w:val="18"/>
                      <w:szCs w:val="18"/>
                    </w:rPr>
                  </w:pPr>
                  <w:r w:rsidRPr="00B170F4">
                    <w:rPr>
                      <w:rFonts w:ascii="Verdana" w:eastAsia="Times New Roman" w:hAnsi="Verdana" w:cs="Arial"/>
                      <w:sz w:val="18"/>
                      <w:szCs w:val="18"/>
                    </w:rPr>
                    <w:t xml:space="preserve">The </w:t>
                  </w:r>
                  <w:proofErr w:type="spellStart"/>
                  <w:r w:rsidRPr="00B170F4">
                    <w:rPr>
                      <w:rFonts w:ascii="Verdana" w:eastAsia="Times New Roman" w:hAnsi="Verdana" w:cs="Arial"/>
                      <w:b/>
                      <w:bCs/>
                      <w:sz w:val="18"/>
                      <w:szCs w:val="18"/>
                    </w:rPr>
                    <w:t>Conners</w:t>
                  </w:r>
                  <w:proofErr w:type="spellEnd"/>
                  <w:r w:rsidRPr="00B170F4">
                    <w:rPr>
                      <w:rFonts w:ascii="Verdana" w:eastAsia="Times New Roman" w:hAnsi="Verdana" w:cs="Arial"/>
                      <w:b/>
                      <w:bCs/>
                      <w:sz w:val="18"/>
                      <w:szCs w:val="18"/>
                    </w:rPr>
                    <w:t xml:space="preserve"> CBRS</w:t>
                  </w:r>
                  <w:r w:rsidRPr="00B170F4">
                    <w:rPr>
                      <w:rFonts w:ascii="Verdana" w:eastAsia="Times New Roman" w:hAnsi="Verdana" w:cs="Arial"/>
                      <w:sz w:val="18"/>
                      <w:szCs w:val="18"/>
                    </w:rPr>
                    <w:t xml:space="preserve"> provides a complete overview of child and adolescent behavior.</w:t>
                  </w:r>
                </w:p>
                <w:p w:rsidR="00B25C29" w:rsidRDefault="00B25C29" w:rsidP="00B170F4">
                  <w:pPr>
                    <w:spacing w:after="0" w:line="240" w:lineRule="auto"/>
                    <w:rPr>
                      <w:rFonts w:ascii="Verdana" w:eastAsia="Times New Roman" w:hAnsi="Verdana" w:cs="Arial"/>
                      <w:sz w:val="18"/>
                      <w:szCs w:val="18"/>
                    </w:rPr>
                  </w:pPr>
                </w:p>
                <w:p w:rsidR="00B25C29" w:rsidRPr="00B170F4" w:rsidRDefault="00B25C29" w:rsidP="00B170F4">
                  <w:pPr>
                    <w:spacing w:after="0" w:line="240" w:lineRule="auto"/>
                    <w:rPr>
                      <w:rFonts w:ascii="Verdana" w:eastAsia="Times New Roman" w:hAnsi="Verdana" w:cs="Times New Roman"/>
                      <w:sz w:val="18"/>
                      <w:szCs w:val="18"/>
                    </w:rPr>
                  </w:pPr>
                </w:p>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1438275" cy="2438400"/>
                        <wp:effectExtent l="1905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srcRect/>
                                <a:stretch>
                                  <a:fillRect/>
                                </a:stretch>
                              </pic:blipFill>
                              <pic:spPr bwMode="auto">
                                <a:xfrm>
                                  <a:off x="0" y="0"/>
                                  <a:ext cx="1438275" cy="2438400"/>
                                </a:xfrm>
                                <a:prstGeom prst="rect">
                                  <a:avLst/>
                                </a:prstGeom>
                                <a:noFill/>
                                <a:ln w="9525">
                                  <a:noFill/>
                                  <a:miter lim="800000"/>
                                  <a:headEnd/>
                                  <a:tailEnd/>
                                </a:ln>
                              </pic:spPr>
                            </pic:pic>
                          </a:graphicData>
                        </a:graphic>
                      </wp:inline>
                    </w:drawing>
                  </w:r>
                </w:p>
              </w:tc>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5" name="Picture 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170F4" w:rsidRPr="00B170F4" w:rsidRDefault="00B170F4" w:rsidP="00B170F4">
            <w:pPr>
              <w:spacing w:after="0" w:line="240" w:lineRule="auto"/>
              <w:rPr>
                <w:rFonts w:ascii="Verdana" w:eastAsia="Times New Roman" w:hAnsi="Verdana" w:cs="Times New Roman"/>
                <w:sz w:val="18"/>
                <w:szCs w:val="18"/>
              </w:rPr>
            </w:pPr>
          </w:p>
        </w:tc>
        <w:tc>
          <w:tcPr>
            <w:tcW w:w="6000" w:type="dxa"/>
            <w:hideMark/>
          </w:tcPr>
          <w:tbl>
            <w:tblPr>
              <w:tblW w:w="5000" w:type="pct"/>
              <w:tblCellSpacing w:w="0" w:type="dxa"/>
              <w:tblCellMar>
                <w:left w:w="0" w:type="dxa"/>
                <w:right w:w="0" w:type="dxa"/>
              </w:tblCellMar>
              <w:tblLook w:val="04A0"/>
            </w:tblPr>
            <w:tblGrid>
              <w:gridCol w:w="2066"/>
            </w:tblGrid>
            <w:tr w:rsidR="00B170F4" w:rsidRPr="00B170F4">
              <w:trPr>
                <w:tblCellSpacing w:w="0" w:type="dxa"/>
              </w:trPr>
              <w:tc>
                <w:tcPr>
                  <w:tcW w:w="0" w:type="auto"/>
                  <w:vAlign w:val="center"/>
                  <w:hideMark/>
                </w:tcPr>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334"/>
        <w:gridCol w:w="6026"/>
      </w:tblGrid>
      <w:tr w:rsidR="00B170F4" w:rsidRPr="00B170F4" w:rsidTr="00B170F4">
        <w:trPr>
          <w:tblCellSpacing w:w="0" w:type="dxa"/>
        </w:trPr>
        <w:tc>
          <w:tcPr>
            <w:tcW w:w="6000" w:type="dxa"/>
            <w:hideMark/>
          </w:tcPr>
          <w:tbl>
            <w:tblPr>
              <w:tblW w:w="5000" w:type="pct"/>
              <w:tblCellSpacing w:w="0" w:type="dxa"/>
              <w:tblCellMar>
                <w:left w:w="0" w:type="dxa"/>
                <w:right w:w="0" w:type="dxa"/>
              </w:tblCellMar>
              <w:tblLook w:val="04A0"/>
            </w:tblPr>
            <w:tblGrid>
              <w:gridCol w:w="3334"/>
            </w:tblGrid>
            <w:tr w:rsidR="00B170F4" w:rsidRPr="00B170F4">
              <w:trPr>
                <w:tblCellSpacing w:w="0" w:type="dxa"/>
              </w:trPr>
              <w:tc>
                <w:tcPr>
                  <w:tcW w:w="0" w:type="auto"/>
                  <w:vAlign w:val="center"/>
                  <w:hideMark/>
                </w:tcPr>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150"/>
              <w:gridCol w:w="3034"/>
              <w:gridCol w:w="150"/>
            </w:tblGrid>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170F4" w:rsidRPr="00B170F4">
              <w:trPr>
                <w:tblCellSpacing w:w="0" w:type="dxa"/>
              </w:trPr>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B170F4" w:rsidRPr="00B170F4" w:rsidRDefault="00FC4E3B" w:rsidP="00B170F4">
                  <w:pPr>
                    <w:spacing w:after="0" w:line="240" w:lineRule="auto"/>
                    <w:rPr>
                      <w:rFonts w:ascii="Verdana" w:eastAsia="Times New Roman" w:hAnsi="Verdana" w:cs="Times New Roman"/>
                      <w:sz w:val="18"/>
                      <w:szCs w:val="18"/>
                    </w:rPr>
                  </w:pPr>
                  <w:r w:rsidRPr="00FC4E3B">
                    <w:rPr>
                      <w:rFonts w:ascii="Verdana" w:eastAsia="Times New Roman" w:hAnsi="Verdana" w:cs="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334"/>
            </w:tblGrid>
            <w:tr w:rsidR="00B170F4" w:rsidRPr="00B170F4">
              <w:trPr>
                <w:tblCellSpacing w:w="0" w:type="dxa"/>
              </w:trPr>
              <w:tc>
                <w:tcPr>
                  <w:tcW w:w="0" w:type="auto"/>
                  <w:vAlign w:val="center"/>
                  <w:hideMark/>
                </w:tcPr>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334"/>
            </w:tblGrid>
            <w:tr w:rsidR="00B170F4" w:rsidRPr="00B170F4">
              <w:trPr>
                <w:tblCellSpacing w:w="0" w:type="dxa"/>
              </w:trPr>
              <w:tc>
                <w:tcPr>
                  <w:tcW w:w="0" w:type="auto"/>
                  <w:vAlign w:val="center"/>
                  <w:hideMark/>
                </w:tcPr>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5726"/>
              <w:gridCol w:w="150"/>
            </w:tblGrid>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170F4" w:rsidRPr="00B170F4">
              <w:trPr>
                <w:tblCellSpacing w:w="0" w:type="dxa"/>
              </w:trPr>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B170F4" w:rsidRPr="00B170F4" w:rsidRDefault="00B170F4" w:rsidP="00B170F4">
                  <w:pPr>
                    <w:spacing w:after="0" w:line="240" w:lineRule="auto"/>
                    <w:rPr>
                      <w:rFonts w:ascii="Verdana" w:eastAsia="Times New Roman" w:hAnsi="Verdana" w:cs="Times New Roman"/>
                      <w:sz w:val="18"/>
                      <w:szCs w:val="18"/>
                    </w:rPr>
                  </w:pPr>
                </w:p>
              </w:tc>
              <w:tc>
                <w:tcPr>
                  <w:tcW w:w="150" w:type="dxa"/>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150"/>
              <w:gridCol w:w="150"/>
              <w:gridCol w:w="5726"/>
            </w:tblGrid>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25C29" w:rsidRPr="00B170F4" w:rsidTr="00B25C29">
              <w:trPr>
                <w:gridAfter w:val="1"/>
                <w:wAfter w:w="4785" w:type="pct"/>
                <w:tblCellSpacing w:w="0" w:type="dxa"/>
              </w:trPr>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59"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0"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C29" w:rsidRPr="00B170F4" w:rsidTr="00B25C29">
              <w:trPr>
                <w:gridAfter w:val="1"/>
                <w:wAfter w:w="4785" w:type="pct"/>
                <w:tblCellSpacing w:w="0" w:type="dxa"/>
              </w:trPr>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1"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2"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C29" w:rsidRPr="00B170F4" w:rsidTr="00B25C29">
              <w:trPr>
                <w:gridAfter w:val="1"/>
                <w:wAfter w:w="4785" w:type="pct"/>
                <w:tblCellSpacing w:w="0" w:type="dxa"/>
              </w:trPr>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C29" w:rsidRPr="00B170F4" w:rsidTr="00B25C29">
              <w:trPr>
                <w:gridAfter w:val="1"/>
                <w:wAfter w:w="4785" w:type="pct"/>
                <w:tblCellSpacing w:w="0" w:type="dxa"/>
              </w:trPr>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5" name="Picture 2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6" name="Picture 2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C29" w:rsidRPr="00B170F4" w:rsidTr="00B25C29">
              <w:trPr>
                <w:gridAfter w:val="1"/>
                <w:wAfter w:w="4785" w:type="pct"/>
                <w:tblCellSpacing w:w="0" w:type="dxa"/>
              </w:trPr>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7" name="Picture 2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8" name="Picture 3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C29" w:rsidRPr="00B170F4" w:rsidTr="00B25C29">
              <w:trPr>
                <w:gridAfter w:val="1"/>
                <w:wAfter w:w="4785" w:type="pct"/>
                <w:tblCellSpacing w:w="0" w:type="dxa"/>
              </w:trPr>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69" name="Picture 3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107" w:type="pct"/>
                  <w:vAlign w:val="center"/>
                  <w:hideMark/>
                </w:tcPr>
                <w:p w:rsidR="00B25C29" w:rsidRPr="00B170F4" w:rsidRDefault="00B25C29"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
                        <wp:effectExtent l="0" t="0" r="0" b="0"/>
                        <wp:docPr id="70" name="Picture 3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170F4" w:rsidRPr="00B170F4">
              <w:trPr>
                <w:tblCellSpacing w:w="0" w:type="dxa"/>
              </w:trPr>
              <w:tc>
                <w:tcPr>
                  <w:tcW w:w="5000" w:type="pct"/>
                  <w:gridSpan w:val="3"/>
                  <w:vAlign w:val="center"/>
                  <w:hideMark/>
                </w:tcPr>
                <w:p w:rsidR="00B170F4" w:rsidRPr="00B170F4" w:rsidRDefault="00B170F4" w:rsidP="00B170F4">
                  <w:pPr>
                    <w:spacing w:after="0" w:line="240" w:lineRule="auto"/>
                    <w:rPr>
                      <w:rFonts w:ascii="Verdana" w:eastAsia="Times New Roman" w:hAnsi="Verdana" w:cs="Times New Roman"/>
                      <w:sz w:val="18"/>
                      <w:szCs w:val="18"/>
                    </w:rPr>
                  </w:pPr>
                  <w:r w:rsidRPr="00B170F4">
                    <w:rPr>
                      <w:rFonts w:ascii="Verdana" w:eastAsia="Times New Roman" w:hAnsi="Verdana" w:cs="Times New Roman"/>
                      <w:noProof/>
                      <w:sz w:val="18"/>
                      <w:szCs w:val="18"/>
                      <w:lang w:val="en-PH" w:eastAsia="en-PH"/>
                    </w:rPr>
                    <w:drawing>
                      <wp:inline distT="0" distB="0" distL="0" distR="0">
                        <wp:extent cx="95250" cy="95250"/>
                        <wp:effectExtent l="0" t="0" r="0" b="0"/>
                        <wp:docPr id="34" name="Picture 3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170F4" w:rsidRPr="00B170F4" w:rsidRDefault="00B170F4" w:rsidP="00B170F4">
            <w:pPr>
              <w:spacing w:after="0" w:line="240" w:lineRule="auto"/>
              <w:rPr>
                <w:rFonts w:ascii="Verdana" w:eastAsia="Times New Roman" w:hAnsi="Verdana" w:cs="Times New Roman"/>
                <w:sz w:val="18"/>
                <w:szCs w:val="18"/>
              </w:rPr>
            </w:pPr>
          </w:p>
        </w:tc>
      </w:tr>
    </w:tbl>
    <w:p w:rsidR="00B170F4" w:rsidRPr="00B170F4" w:rsidRDefault="00B170F4" w:rsidP="00B170F4">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9360"/>
      </w:tblGrid>
      <w:tr w:rsidR="00B170F4" w:rsidRPr="00B170F4" w:rsidTr="00B170F4">
        <w:trPr>
          <w:tblCellSpacing w:w="0" w:type="dxa"/>
        </w:trPr>
        <w:tc>
          <w:tcPr>
            <w:tcW w:w="5000" w:type="pct"/>
            <w:vAlign w:val="center"/>
            <w:hideMark/>
          </w:tcPr>
          <w:p w:rsidR="00B170F4" w:rsidRPr="00B170F4" w:rsidRDefault="00B170F4" w:rsidP="00B170F4">
            <w:pPr>
              <w:spacing w:after="0" w:line="240" w:lineRule="auto"/>
              <w:rPr>
                <w:rFonts w:ascii="Verdana" w:eastAsia="Times New Roman" w:hAnsi="Verdana" w:cs="Times New Roman"/>
                <w:b/>
                <w:bCs/>
                <w:sz w:val="18"/>
                <w:szCs w:val="18"/>
              </w:rPr>
            </w:pPr>
            <w:r w:rsidRPr="00B170F4">
              <w:rPr>
                <w:rFonts w:ascii="Verdana" w:eastAsia="Times New Roman" w:hAnsi="Verdana" w:cs="Times New Roman"/>
                <w:b/>
                <w:bCs/>
                <w:noProof/>
                <w:sz w:val="18"/>
                <w:szCs w:val="18"/>
                <w:lang w:val="en-PH" w:eastAsia="en-PH"/>
              </w:rPr>
              <w:drawing>
                <wp:inline distT="0" distB="0" distL="0" distR="0">
                  <wp:extent cx="47625" cy="47625"/>
                  <wp:effectExtent l="0" t="0" r="0" b="0"/>
                  <wp:docPr id="35" name="Picture 3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B25C29" w:rsidRDefault="00B25C29" w:rsidP="00B170F4">
      <w:pPr>
        <w:spacing w:after="0"/>
        <w:rPr>
          <w:rFonts w:ascii="Verdana" w:hAnsi="Verdana"/>
          <w:b/>
          <w:bCs/>
          <w:sz w:val="18"/>
          <w:szCs w:val="18"/>
        </w:rPr>
      </w:pPr>
    </w:p>
    <w:p w:rsidR="00B25C29" w:rsidRDefault="00B25C29" w:rsidP="00B170F4">
      <w:pPr>
        <w:spacing w:after="0"/>
        <w:rPr>
          <w:rFonts w:ascii="Verdana" w:hAnsi="Verdana"/>
          <w:b/>
          <w:bCs/>
          <w:sz w:val="18"/>
          <w:szCs w:val="18"/>
        </w:rPr>
      </w:pPr>
    </w:p>
    <w:p w:rsidR="00B170F4" w:rsidRPr="00B170F4" w:rsidRDefault="00B170F4" w:rsidP="00B170F4">
      <w:pPr>
        <w:spacing w:after="0"/>
        <w:rPr>
          <w:rFonts w:ascii="Verdana" w:hAnsi="Verdana"/>
          <w:b/>
          <w:bCs/>
          <w:sz w:val="18"/>
          <w:szCs w:val="18"/>
        </w:rPr>
      </w:pPr>
      <w:proofErr w:type="spellStart"/>
      <w:r w:rsidRPr="00B170F4">
        <w:rPr>
          <w:rFonts w:ascii="Verdana" w:hAnsi="Verdana"/>
          <w:b/>
          <w:bCs/>
          <w:sz w:val="18"/>
          <w:szCs w:val="18"/>
        </w:rPr>
        <w:t>Conners</w:t>
      </w:r>
      <w:proofErr w:type="spellEnd"/>
      <w:r w:rsidRPr="00B170F4">
        <w:rPr>
          <w:rFonts w:ascii="Verdana" w:hAnsi="Verdana"/>
          <w:b/>
          <w:bCs/>
          <w:sz w:val="18"/>
          <w:szCs w:val="18"/>
        </w:rPr>
        <w:t xml:space="preserve"> Comprehensive Behavior Rating Scales (</w:t>
      </w:r>
      <w:proofErr w:type="spellStart"/>
      <w:r w:rsidRPr="00B170F4">
        <w:rPr>
          <w:rFonts w:ascii="Verdana" w:hAnsi="Verdana"/>
          <w:b/>
          <w:bCs/>
          <w:sz w:val="18"/>
          <w:szCs w:val="18"/>
        </w:rPr>
        <w:t>Conners</w:t>
      </w:r>
      <w:proofErr w:type="spellEnd"/>
      <w:r w:rsidRPr="00B170F4">
        <w:rPr>
          <w:rFonts w:ascii="Verdana" w:hAnsi="Verdana"/>
          <w:b/>
          <w:bCs/>
          <w:sz w:val="18"/>
          <w:szCs w:val="18"/>
        </w:rPr>
        <w:t xml:space="preserve"> CBRS)</w:t>
      </w:r>
    </w:p>
    <w:p w:rsidR="00B170F4" w:rsidRPr="00B170F4" w:rsidRDefault="00B170F4" w:rsidP="00B170F4">
      <w:pPr>
        <w:spacing w:after="0"/>
        <w:rPr>
          <w:rFonts w:ascii="Verdana" w:hAnsi="Verdana"/>
          <w:sz w:val="18"/>
          <w:szCs w:val="18"/>
        </w:rPr>
      </w:pPr>
      <w:proofErr w:type="gramStart"/>
      <w:r w:rsidRPr="00B170F4">
        <w:rPr>
          <w:rFonts w:ascii="Verdana" w:hAnsi="Verdana"/>
          <w:sz w:val="18"/>
          <w:szCs w:val="18"/>
        </w:rPr>
        <w:t>by</w:t>
      </w:r>
      <w:proofErr w:type="gramEnd"/>
      <w:r w:rsidRPr="00B170F4">
        <w:rPr>
          <w:rFonts w:ascii="Verdana" w:hAnsi="Verdana"/>
          <w:sz w:val="18"/>
          <w:szCs w:val="18"/>
        </w:rPr>
        <w:t xml:space="preserve"> C. Keith </w:t>
      </w:r>
      <w:proofErr w:type="spellStart"/>
      <w:r w:rsidRPr="00B170F4">
        <w:rPr>
          <w:rFonts w:ascii="Verdana" w:hAnsi="Verdana"/>
          <w:sz w:val="18"/>
          <w:szCs w:val="18"/>
        </w:rPr>
        <w:t>Conners</w:t>
      </w:r>
      <w:proofErr w:type="spellEnd"/>
      <w:r w:rsidRPr="00B170F4">
        <w:rPr>
          <w:rFonts w:ascii="Verdana" w:hAnsi="Verdana"/>
          <w:sz w:val="18"/>
          <w:szCs w:val="18"/>
        </w:rPr>
        <w:t>, Ph.D.</w:t>
      </w:r>
    </w:p>
    <w:p w:rsidR="00B170F4" w:rsidRPr="00B170F4" w:rsidRDefault="00B170F4" w:rsidP="00B170F4">
      <w:pPr>
        <w:spacing w:after="0"/>
        <w:rPr>
          <w:rFonts w:ascii="Verdana" w:hAnsi="Verdana"/>
          <w:sz w:val="18"/>
          <w:szCs w:val="18"/>
        </w:rPr>
      </w:pPr>
      <w:r w:rsidRPr="00B170F4">
        <w:rPr>
          <w:rFonts w:ascii="Verdana" w:hAnsi="Verdana"/>
          <w:sz w:val="18"/>
          <w:szCs w:val="18"/>
        </w:rPr>
        <w:tab/>
      </w:r>
    </w:p>
    <w:p w:rsidR="00B170F4" w:rsidRPr="00B170F4" w:rsidRDefault="00B170F4" w:rsidP="00B170F4">
      <w:pPr>
        <w:spacing w:after="0"/>
        <w:rPr>
          <w:rFonts w:ascii="Verdana" w:hAnsi="Verdana"/>
          <w:b/>
          <w:bCs/>
          <w:sz w:val="18"/>
          <w:szCs w:val="18"/>
        </w:rPr>
      </w:pPr>
      <w:r w:rsidRPr="00B170F4">
        <w:rPr>
          <w:rFonts w:ascii="Verdana" w:hAnsi="Verdana"/>
          <w:b/>
          <w:bCs/>
          <w:sz w:val="18"/>
          <w:szCs w:val="18"/>
        </w:rPr>
        <w:t>Three Sources of Information</w:t>
      </w:r>
    </w:p>
    <w:p w:rsidR="00B170F4" w:rsidRPr="00B170F4" w:rsidRDefault="00B170F4" w:rsidP="00B170F4">
      <w:pPr>
        <w:spacing w:after="0"/>
        <w:rPr>
          <w:rFonts w:ascii="Verdana" w:hAnsi="Verdana"/>
          <w:sz w:val="18"/>
          <w:szCs w:val="18"/>
        </w:rPr>
      </w:pPr>
      <w:r w:rsidRPr="00B170F4">
        <w:rPr>
          <w:rFonts w:ascii="Verdana" w:hAnsi="Verdana"/>
          <w:sz w:val="18"/>
          <w:szCs w:val="18"/>
        </w:rPr>
        <w:t>The CBRS is composed of three rating scales: one completed by the teacher (204 items), one by the parent or caregiver (203 items), and one by the student being evaluated (179 items). The teacher and parent scales, written at a fourth-grade reading level, can be used to assess students 6 through 18 years of age. The self-report scale, written at a third-grade level, is appropriate for 8- through 18-year-olds.</w:t>
      </w:r>
    </w:p>
    <w:p w:rsidR="00B170F4" w:rsidRPr="00B170F4" w:rsidRDefault="00B170F4" w:rsidP="00B170F4">
      <w:pPr>
        <w:spacing w:after="0"/>
        <w:rPr>
          <w:rFonts w:ascii="Verdana" w:hAnsi="Verdana"/>
          <w:sz w:val="18"/>
          <w:szCs w:val="18"/>
        </w:rPr>
      </w:pPr>
    </w:p>
    <w:p w:rsidR="00B170F4" w:rsidRPr="00B170F4" w:rsidRDefault="00B170F4" w:rsidP="00B170F4">
      <w:pPr>
        <w:spacing w:after="0"/>
        <w:rPr>
          <w:rFonts w:ascii="Verdana" w:hAnsi="Verdana"/>
          <w:b/>
          <w:bCs/>
          <w:sz w:val="18"/>
          <w:szCs w:val="18"/>
        </w:rPr>
      </w:pPr>
      <w:r w:rsidRPr="00B170F4">
        <w:rPr>
          <w:rFonts w:ascii="Verdana" w:hAnsi="Verdana"/>
          <w:b/>
          <w:bCs/>
          <w:sz w:val="18"/>
          <w:szCs w:val="18"/>
        </w:rPr>
        <w:t>A Broad Spectrum Assessment</w:t>
      </w:r>
    </w:p>
    <w:p w:rsidR="00B170F4" w:rsidRPr="00B170F4" w:rsidRDefault="00B170F4" w:rsidP="00B170F4">
      <w:pPr>
        <w:spacing w:after="0"/>
        <w:rPr>
          <w:rFonts w:ascii="Verdana" w:hAnsi="Verdana"/>
          <w:sz w:val="18"/>
          <w:szCs w:val="18"/>
        </w:rPr>
      </w:pPr>
      <w:r w:rsidRPr="00B170F4">
        <w:rPr>
          <w:rFonts w:ascii="Verdana" w:hAnsi="Verdana"/>
          <w:sz w:val="18"/>
          <w:szCs w:val="18"/>
        </w:rPr>
        <w:t>The three CBRS forms cover the following scales:</w:t>
      </w:r>
    </w:p>
    <w:p w:rsidR="00B170F4" w:rsidRPr="00B170F4" w:rsidRDefault="00B170F4" w:rsidP="00B170F4">
      <w:pPr>
        <w:spacing w:after="0"/>
        <w:rPr>
          <w:rFonts w:ascii="Verdana" w:hAnsi="Verdana"/>
          <w:sz w:val="18"/>
          <w:szCs w:val="18"/>
          <w:u w:val="single"/>
        </w:rPr>
      </w:pPr>
    </w:p>
    <w:p w:rsidR="00B170F4" w:rsidRDefault="00B170F4" w:rsidP="00B170F4">
      <w:pPr>
        <w:spacing w:after="0"/>
        <w:rPr>
          <w:rFonts w:ascii="Verdana" w:hAnsi="Verdana"/>
          <w:sz w:val="18"/>
          <w:szCs w:val="18"/>
        </w:rPr>
      </w:pPr>
      <w:r w:rsidRPr="00B170F4">
        <w:rPr>
          <w:rFonts w:ascii="Verdana" w:hAnsi="Verdana"/>
          <w:sz w:val="18"/>
          <w:szCs w:val="18"/>
          <w:u w:val="single"/>
        </w:rPr>
        <w:t xml:space="preserve">DSM-IV-TR Symptom Scales                                                                                                       </w:t>
      </w:r>
      <w:r>
        <w:rPr>
          <w:rFonts w:ascii="Verdana" w:hAnsi="Verdana"/>
          <w:sz w:val="18"/>
          <w:szCs w:val="18"/>
        </w:rPr>
        <w:tab/>
        <w:t xml:space="preserve"> </w:t>
      </w:r>
    </w:p>
    <w:p w:rsidR="00B170F4" w:rsidRDefault="00B170F4" w:rsidP="00B170F4">
      <w:pPr>
        <w:spacing w:after="0"/>
        <w:rPr>
          <w:rFonts w:ascii="Verdana" w:hAnsi="Verdana"/>
          <w:sz w:val="18"/>
          <w:szCs w:val="18"/>
        </w:rPr>
      </w:pPr>
    </w:p>
    <w:p w:rsidR="00B170F4" w:rsidRDefault="00B170F4" w:rsidP="00B170F4">
      <w:pPr>
        <w:pStyle w:val="ListParagraph"/>
        <w:numPr>
          <w:ilvl w:val="0"/>
          <w:numId w:val="3"/>
        </w:numPr>
        <w:spacing w:after="0"/>
        <w:rPr>
          <w:rFonts w:ascii="Verdana" w:hAnsi="Verdana"/>
          <w:sz w:val="18"/>
          <w:szCs w:val="18"/>
        </w:rPr>
      </w:pPr>
      <w:r w:rsidRPr="00B170F4">
        <w:rPr>
          <w:rFonts w:ascii="Verdana" w:hAnsi="Verdana"/>
          <w:sz w:val="18"/>
          <w:szCs w:val="18"/>
        </w:rPr>
        <w:t xml:space="preserve">ADHD </w:t>
      </w:r>
      <w:r w:rsidRPr="00B170F4">
        <w:rPr>
          <w:rFonts w:ascii="Verdana" w:hAnsi="Verdana"/>
          <w:sz w:val="18"/>
          <w:szCs w:val="18"/>
        </w:rPr>
        <w:tab/>
      </w:r>
      <w:r w:rsidRPr="00B170F4">
        <w:rPr>
          <w:rFonts w:ascii="Verdana" w:hAnsi="Verdana"/>
          <w:sz w:val="18"/>
          <w:szCs w:val="18"/>
        </w:rPr>
        <w:tab/>
      </w:r>
      <w:r>
        <w:rPr>
          <w:rFonts w:ascii="Verdana" w:hAnsi="Verdana"/>
          <w:sz w:val="18"/>
          <w:szCs w:val="18"/>
        </w:rPr>
        <w:tab/>
      </w:r>
      <w:r>
        <w:rPr>
          <w:rFonts w:ascii="Verdana" w:hAnsi="Verdana"/>
          <w:sz w:val="18"/>
          <w:szCs w:val="18"/>
        </w:rPr>
        <w:tab/>
      </w:r>
      <w:r w:rsidRPr="00B170F4">
        <w:rPr>
          <w:rFonts w:ascii="Verdana" w:hAnsi="Verdana"/>
          <w:sz w:val="18"/>
          <w:szCs w:val="18"/>
        </w:rPr>
        <w:t xml:space="preserve">Manic Episode  </w:t>
      </w:r>
      <w:r>
        <w:rPr>
          <w:rFonts w:ascii="Verdana" w:hAnsi="Verdana"/>
          <w:sz w:val="18"/>
          <w:szCs w:val="18"/>
        </w:rPr>
        <w:tab/>
      </w:r>
      <w:r>
        <w:rPr>
          <w:rFonts w:ascii="Verdana" w:hAnsi="Verdana"/>
          <w:sz w:val="18"/>
          <w:szCs w:val="18"/>
        </w:rPr>
        <w:tab/>
      </w:r>
      <w:r>
        <w:rPr>
          <w:rFonts w:ascii="Verdana" w:hAnsi="Verdana"/>
          <w:sz w:val="18"/>
          <w:szCs w:val="18"/>
        </w:rPr>
        <w:tab/>
      </w:r>
      <w:r w:rsidRPr="00B170F4">
        <w:rPr>
          <w:rFonts w:ascii="Verdana" w:hAnsi="Verdana"/>
          <w:sz w:val="18"/>
          <w:szCs w:val="18"/>
        </w:rPr>
        <w:t>Social Phobia</w:t>
      </w:r>
    </w:p>
    <w:p w:rsidR="006B4EF2" w:rsidRDefault="00B170F4" w:rsidP="00B170F4">
      <w:pPr>
        <w:pStyle w:val="ListParagraph"/>
        <w:numPr>
          <w:ilvl w:val="0"/>
          <w:numId w:val="3"/>
        </w:numPr>
        <w:spacing w:after="0"/>
        <w:rPr>
          <w:rFonts w:ascii="Verdana" w:hAnsi="Verdana"/>
          <w:sz w:val="18"/>
          <w:szCs w:val="18"/>
        </w:rPr>
      </w:pPr>
      <w:r w:rsidRPr="00B170F4">
        <w:rPr>
          <w:rFonts w:ascii="Verdana" w:hAnsi="Verdana"/>
          <w:sz w:val="18"/>
          <w:szCs w:val="18"/>
        </w:rPr>
        <w:t xml:space="preserve">Conduct Disorder </w:t>
      </w:r>
      <w:r>
        <w:rPr>
          <w:rFonts w:ascii="Verdana" w:hAnsi="Verdana"/>
          <w:sz w:val="18"/>
          <w:szCs w:val="18"/>
        </w:rPr>
        <w:tab/>
      </w:r>
      <w:r>
        <w:rPr>
          <w:rFonts w:ascii="Verdana" w:hAnsi="Verdana"/>
          <w:sz w:val="18"/>
          <w:szCs w:val="18"/>
        </w:rPr>
        <w:tab/>
      </w:r>
      <w:r w:rsidRPr="00B170F4">
        <w:rPr>
          <w:rFonts w:ascii="Verdana" w:hAnsi="Verdana"/>
          <w:sz w:val="18"/>
          <w:szCs w:val="18"/>
        </w:rPr>
        <w:t xml:space="preserve">Mixed Episode      </w:t>
      </w:r>
      <w:r>
        <w:rPr>
          <w:rFonts w:ascii="Verdana" w:hAnsi="Verdana"/>
          <w:sz w:val="18"/>
          <w:szCs w:val="18"/>
        </w:rPr>
        <w:tab/>
      </w:r>
      <w:r>
        <w:rPr>
          <w:rFonts w:ascii="Verdana" w:hAnsi="Verdana"/>
          <w:sz w:val="18"/>
          <w:szCs w:val="18"/>
        </w:rPr>
        <w:tab/>
      </w:r>
      <w:r w:rsidRPr="00B170F4">
        <w:rPr>
          <w:rFonts w:ascii="Verdana" w:hAnsi="Verdana"/>
          <w:sz w:val="18"/>
          <w:szCs w:val="18"/>
        </w:rPr>
        <w:t>Obsessive-Compulsive Disorder</w:t>
      </w:r>
    </w:p>
    <w:p w:rsidR="00B170F4" w:rsidRPr="00B170F4" w:rsidRDefault="00B170F4" w:rsidP="00B170F4">
      <w:pPr>
        <w:pStyle w:val="ListParagraph"/>
        <w:numPr>
          <w:ilvl w:val="0"/>
          <w:numId w:val="3"/>
        </w:numPr>
        <w:spacing w:after="0"/>
        <w:rPr>
          <w:rFonts w:ascii="Verdana" w:hAnsi="Verdana"/>
          <w:sz w:val="18"/>
          <w:szCs w:val="18"/>
        </w:rPr>
      </w:pPr>
      <w:r w:rsidRPr="00B170F4">
        <w:rPr>
          <w:rFonts w:ascii="Verdana" w:hAnsi="Verdana"/>
          <w:sz w:val="18"/>
          <w:szCs w:val="18"/>
        </w:rPr>
        <w:t xml:space="preserve">Oppositional Defiant Disorder </w:t>
      </w:r>
      <w:r w:rsidR="006B4EF2">
        <w:rPr>
          <w:rFonts w:ascii="Verdana" w:hAnsi="Verdana"/>
          <w:sz w:val="18"/>
          <w:szCs w:val="18"/>
        </w:rPr>
        <w:t xml:space="preserve">  </w:t>
      </w:r>
      <w:r w:rsidRPr="00B170F4">
        <w:rPr>
          <w:rFonts w:ascii="Verdana" w:hAnsi="Verdana"/>
          <w:sz w:val="18"/>
          <w:szCs w:val="18"/>
        </w:rPr>
        <w:t xml:space="preserve">Generalized Anxiety Disorder      </w:t>
      </w:r>
      <w:r w:rsidR="006B4EF2">
        <w:rPr>
          <w:rFonts w:ascii="Verdana" w:hAnsi="Verdana"/>
          <w:sz w:val="18"/>
          <w:szCs w:val="18"/>
        </w:rPr>
        <w:t xml:space="preserve"> </w:t>
      </w:r>
      <w:r w:rsidRPr="00B170F4">
        <w:rPr>
          <w:rFonts w:ascii="Verdana" w:hAnsi="Verdana"/>
          <w:sz w:val="18"/>
          <w:szCs w:val="18"/>
        </w:rPr>
        <w:t>Autistic Disorder</w:t>
      </w:r>
    </w:p>
    <w:p w:rsidR="00B170F4" w:rsidRPr="006B4EF2" w:rsidRDefault="00B170F4" w:rsidP="006B4EF2">
      <w:pPr>
        <w:pStyle w:val="ListParagraph"/>
        <w:numPr>
          <w:ilvl w:val="0"/>
          <w:numId w:val="3"/>
        </w:numPr>
        <w:spacing w:after="0"/>
        <w:rPr>
          <w:rFonts w:ascii="Verdana" w:hAnsi="Verdana"/>
          <w:sz w:val="18"/>
          <w:szCs w:val="18"/>
        </w:rPr>
      </w:pPr>
      <w:r w:rsidRPr="006B4EF2">
        <w:rPr>
          <w:rFonts w:ascii="Verdana" w:hAnsi="Verdana"/>
          <w:sz w:val="18"/>
          <w:szCs w:val="18"/>
        </w:rPr>
        <w:t xml:space="preserve">Major Depressive Episode      </w:t>
      </w:r>
      <w:r w:rsidR="006B4EF2" w:rsidRPr="006B4EF2">
        <w:rPr>
          <w:rFonts w:ascii="Verdana" w:hAnsi="Verdana"/>
          <w:sz w:val="18"/>
          <w:szCs w:val="18"/>
        </w:rPr>
        <w:t xml:space="preserve">  </w:t>
      </w:r>
      <w:r w:rsidRPr="006B4EF2">
        <w:rPr>
          <w:rFonts w:ascii="Verdana" w:hAnsi="Verdana"/>
          <w:sz w:val="18"/>
          <w:szCs w:val="18"/>
        </w:rPr>
        <w:t xml:space="preserve">Separation Anxiety Disorder      </w:t>
      </w:r>
      <w:r w:rsidR="006B4EF2" w:rsidRPr="006B4EF2">
        <w:rPr>
          <w:rFonts w:ascii="Verdana" w:hAnsi="Verdana"/>
          <w:sz w:val="18"/>
          <w:szCs w:val="18"/>
        </w:rPr>
        <w:t xml:space="preserve">  </w:t>
      </w:r>
      <w:r w:rsidRPr="006B4EF2">
        <w:rPr>
          <w:rFonts w:ascii="Verdana" w:hAnsi="Verdana"/>
          <w:sz w:val="18"/>
          <w:szCs w:val="18"/>
        </w:rPr>
        <w:t>Asperger's Disorder</w:t>
      </w:r>
    </w:p>
    <w:p w:rsidR="00B170F4" w:rsidRPr="00B170F4" w:rsidRDefault="00B170F4" w:rsidP="00B170F4">
      <w:pPr>
        <w:spacing w:after="0"/>
        <w:rPr>
          <w:rFonts w:ascii="Verdana" w:hAnsi="Verdana"/>
          <w:sz w:val="18"/>
          <w:szCs w:val="18"/>
        </w:rPr>
      </w:pPr>
    </w:p>
    <w:p w:rsidR="00B170F4" w:rsidRPr="00B170F4" w:rsidRDefault="00B170F4" w:rsidP="00B170F4">
      <w:pPr>
        <w:spacing w:after="0"/>
        <w:rPr>
          <w:rFonts w:ascii="Verdana" w:hAnsi="Verdana"/>
          <w:sz w:val="18"/>
          <w:szCs w:val="18"/>
        </w:rPr>
      </w:pPr>
      <w:r w:rsidRPr="00B170F4">
        <w:rPr>
          <w:rFonts w:ascii="Verdana" w:hAnsi="Verdana"/>
          <w:sz w:val="18"/>
          <w:szCs w:val="18"/>
        </w:rPr>
        <w:t xml:space="preserve">  </w:t>
      </w:r>
      <w:r w:rsidRPr="00B170F4">
        <w:rPr>
          <w:rFonts w:ascii="Verdana" w:hAnsi="Verdana"/>
          <w:sz w:val="18"/>
          <w:szCs w:val="18"/>
        </w:rPr>
        <w:tab/>
        <w:t xml:space="preserve"> </w:t>
      </w:r>
    </w:p>
    <w:p w:rsidR="006B4EF2" w:rsidRPr="00B170F4" w:rsidRDefault="00B170F4" w:rsidP="006B4EF2">
      <w:pPr>
        <w:spacing w:after="0"/>
        <w:rPr>
          <w:rFonts w:ascii="Verdana" w:hAnsi="Verdana"/>
          <w:sz w:val="18"/>
          <w:szCs w:val="18"/>
        </w:rPr>
      </w:pPr>
      <w:r w:rsidRPr="00B170F4">
        <w:rPr>
          <w:rFonts w:ascii="Verdana" w:hAnsi="Verdana"/>
          <w:sz w:val="18"/>
          <w:szCs w:val="18"/>
        </w:rPr>
        <w:t xml:space="preserve">  </w:t>
      </w:r>
    </w:p>
    <w:tbl>
      <w:tblPr>
        <w:tblW w:w="5250" w:type="dxa"/>
        <w:tblBorders>
          <w:top w:val="single" w:sz="6" w:space="0" w:color="auto"/>
          <w:left w:val="single" w:sz="6" w:space="0" w:color="auto"/>
          <w:bottom w:val="single" w:sz="6" w:space="0" w:color="auto"/>
          <w:right w:val="single" w:sz="6" w:space="0" w:color="auto"/>
        </w:tblBorders>
        <w:tblCellMar>
          <w:top w:w="15" w:type="dxa"/>
          <w:left w:w="60" w:type="dxa"/>
          <w:bottom w:w="15" w:type="dxa"/>
          <w:right w:w="60" w:type="dxa"/>
        </w:tblCellMar>
        <w:tblLook w:val="04A0"/>
      </w:tblPr>
      <w:tblGrid>
        <w:gridCol w:w="5250"/>
      </w:tblGrid>
      <w:tr w:rsidR="006B4EF2" w:rsidRPr="006B4EF2" w:rsidTr="006B4EF2">
        <w:trPr>
          <w:trHeight w:val="375"/>
        </w:trPr>
        <w:tc>
          <w:tcPr>
            <w:tcW w:w="0" w:type="auto"/>
            <w:tcBorders>
              <w:top w:val="nil"/>
              <w:left w:val="nil"/>
              <w:bottom w:val="nil"/>
              <w:right w:val="nil"/>
            </w:tcBorders>
            <w:vAlign w:val="center"/>
            <w:hideMark/>
          </w:tcPr>
          <w:p w:rsidR="006B4EF2" w:rsidRPr="006B4EF2" w:rsidRDefault="006B4EF2" w:rsidP="006B4EF2">
            <w:pPr>
              <w:spacing w:after="0" w:line="240" w:lineRule="auto"/>
              <w:rPr>
                <w:rFonts w:ascii="Times New Roman" w:eastAsia="Times New Roman" w:hAnsi="Times New Roman" w:cs="Times New Roman"/>
                <w:sz w:val="24"/>
                <w:szCs w:val="24"/>
              </w:rPr>
            </w:pPr>
            <w:r w:rsidRPr="006B4EF2">
              <w:rPr>
                <w:rFonts w:ascii="Arial" w:eastAsia="Times New Roman" w:hAnsi="Arial" w:cs="Arial"/>
                <w:b/>
                <w:bCs/>
                <w:sz w:val="20"/>
                <w:szCs w:val="20"/>
              </w:rPr>
              <w:t>Empirical Scales</w:t>
            </w:r>
          </w:p>
        </w:tc>
      </w:tr>
      <w:tr w:rsidR="006B4EF2" w:rsidRPr="006B4EF2" w:rsidTr="006B4EF2">
        <w:tc>
          <w:tcPr>
            <w:tcW w:w="0" w:type="auto"/>
            <w:tcBorders>
              <w:top w:val="nil"/>
              <w:left w:val="nil"/>
              <w:bottom w:val="nil"/>
              <w:right w:val="nil"/>
            </w:tcBorders>
            <w:vAlign w:val="center"/>
            <w:hideMark/>
          </w:tcPr>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lastRenderedPageBreak/>
              <w:t>Emotional Distress</w:t>
            </w:r>
          </w:p>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Aggressive Behaviors</w:t>
            </w:r>
          </w:p>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Academic Difficulties</w:t>
            </w:r>
          </w:p>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Hyperactivity or Hyperactivity/Impulsivity</w:t>
            </w:r>
          </w:p>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Separation Fears</w:t>
            </w:r>
          </w:p>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Social Problems</w:t>
            </w:r>
          </w:p>
          <w:p w:rsidR="006B4EF2" w:rsidRPr="006B4EF2" w:rsidRDefault="006B4EF2" w:rsidP="006B4EF2">
            <w:pPr>
              <w:numPr>
                <w:ilvl w:val="0"/>
                <w:numId w:val="4"/>
              </w:numPr>
              <w:spacing w:after="0" w:line="240" w:lineRule="auto"/>
              <w:rPr>
                <w:rFonts w:ascii="Times New Roman" w:eastAsia="Times New Roman" w:hAnsi="Times New Roman" w:cs="Times New Roman"/>
                <w:sz w:val="24"/>
                <w:szCs w:val="24"/>
              </w:rPr>
            </w:pPr>
            <w:proofErr w:type="spellStart"/>
            <w:r w:rsidRPr="006B4EF2">
              <w:rPr>
                <w:rFonts w:ascii="Arial" w:eastAsia="Times New Roman" w:hAnsi="Arial" w:cs="Arial"/>
                <w:sz w:val="20"/>
                <w:szCs w:val="20"/>
              </w:rPr>
              <w:t>Perfectionistic</w:t>
            </w:r>
            <w:proofErr w:type="spellEnd"/>
            <w:r w:rsidRPr="006B4EF2">
              <w:rPr>
                <w:rFonts w:ascii="Arial" w:eastAsia="Times New Roman" w:hAnsi="Arial" w:cs="Arial"/>
                <w:sz w:val="20"/>
                <w:szCs w:val="20"/>
              </w:rPr>
              <w:t xml:space="preserve"> and Compulsive Behaviors</w:t>
            </w:r>
          </w:p>
        </w:tc>
      </w:tr>
    </w:tbl>
    <w:p w:rsidR="006B4EF2" w:rsidRPr="006B4EF2" w:rsidRDefault="006B4EF2" w:rsidP="006B4EF2">
      <w:pPr>
        <w:spacing w:after="0" w:line="240" w:lineRule="auto"/>
        <w:rPr>
          <w:rFonts w:ascii="Times New Roman" w:eastAsia="Times New Roman" w:hAnsi="Times New Roman" w:cs="Times New Roman"/>
          <w:vanish/>
          <w:sz w:val="24"/>
          <w:szCs w:val="24"/>
        </w:rPr>
      </w:pPr>
    </w:p>
    <w:tbl>
      <w:tblPr>
        <w:tblW w:w="5250" w:type="dxa"/>
        <w:tblBorders>
          <w:top w:val="single" w:sz="6" w:space="0" w:color="auto"/>
          <w:left w:val="single" w:sz="6" w:space="0" w:color="auto"/>
          <w:bottom w:val="single" w:sz="6" w:space="0" w:color="auto"/>
          <w:right w:val="single" w:sz="6" w:space="0" w:color="auto"/>
        </w:tblBorders>
        <w:tblCellMar>
          <w:top w:w="15" w:type="dxa"/>
          <w:left w:w="60" w:type="dxa"/>
          <w:bottom w:w="15" w:type="dxa"/>
          <w:right w:w="60" w:type="dxa"/>
        </w:tblCellMar>
        <w:tblLook w:val="04A0"/>
      </w:tblPr>
      <w:tblGrid>
        <w:gridCol w:w="5250"/>
      </w:tblGrid>
      <w:tr w:rsidR="006B4EF2" w:rsidRPr="006B4EF2" w:rsidTr="006B4EF2">
        <w:trPr>
          <w:trHeight w:val="375"/>
        </w:trPr>
        <w:tc>
          <w:tcPr>
            <w:tcW w:w="0" w:type="auto"/>
            <w:tcBorders>
              <w:top w:val="nil"/>
              <w:left w:val="nil"/>
              <w:bottom w:val="nil"/>
              <w:right w:val="nil"/>
            </w:tcBorders>
            <w:vAlign w:val="center"/>
            <w:hideMark/>
          </w:tcPr>
          <w:p w:rsidR="006B4EF2" w:rsidRPr="006B4EF2" w:rsidRDefault="006B4EF2" w:rsidP="006B4EF2">
            <w:pPr>
              <w:spacing w:after="0" w:line="240" w:lineRule="auto"/>
              <w:rPr>
                <w:rFonts w:ascii="Times New Roman" w:eastAsia="Times New Roman" w:hAnsi="Times New Roman" w:cs="Times New Roman"/>
                <w:sz w:val="24"/>
                <w:szCs w:val="24"/>
              </w:rPr>
            </w:pPr>
            <w:r w:rsidRPr="006B4EF2">
              <w:rPr>
                <w:rFonts w:ascii="Arial" w:eastAsia="Times New Roman" w:hAnsi="Arial" w:cs="Arial"/>
                <w:b/>
                <w:bCs/>
                <w:sz w:val="20"/>
                <w:szCs w:val="20"/>
              </w:rPr>
              <w:t>  Validity Scales</w:t>
            </w:r>
          </w:p>
        </w:tc>
      </w:tr>
      <w:tr w:rsidR="006B4EF2" w:rsidRPr="006B4EF2" w:rsidTr="006B4EF2">
        <w:tc>
          <w:tcPr>
            <w:tcW w:w="0" w:type="auto"/>
            <w:tcBorders>
              <w:top w:val="nil"/>
              <w:left w:val="nil"/>
              <w:bottom w:val="nil"/>
              <w:right w:val="nil"/>
            </w:tcBorders>
            <w:vAlign w:val="center"/>
            <w:hideMark/>
          </w:tcPr>
          <w:p w:rsidR="006B4EF2" w:rsidRPr="006B4EF2" w:rsidRDefault="006B4EF2" w:rsidP="006B4EF2">
            <w:pPr>
              <w:numPr>
                <w:ilvl w:val="0"/>
                <w:numId w:val="5"/>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Positive Impression</w:t>
            </w:r>
          </w:p>
          <w:p w:rsidR="006B4EF2" w:rsidRPr="006B4EF2" w:rsidRDefault="006B4EF2" w:rsidP="006B4EF2">
            <w:pPr>
              <w:numPr>
                <w:ilvl w:val="0"/>
                <w:numId w:val="5"/>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Negative Impression</w:t>
            </w:r>
          </w:p>
          <w:p w:rsidR="006B4EF2" w:rsidRPr="006B4EF2" w:rsidRDefault="006B4EF2" w:rsidP="006B4EF2">
            <w:pPr>
              <w:numPr>
                <w:ilvl w:val="0"/>
                <w:numId w:val="5"/>
              </w:numPr>
              <w:spacing w:after="0"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Inconsistency Index</w:t>
            </w:r>
          </w:p>
        </w:tc>
      </w:tr>
    </w:tbl>
    <w:p w:rsidR="006B4EF2" w:rsidRPr="006B4EF2" w:rsidRDefault="006B4EF2" w:rsidP="006B4EF2">
      <w:pPr>
        <w:spacing w:after="0" w:line="240" w:lineRule="auto"/>
        <w:rPr>
          <w:rFonts w:ascii="Times New Roman" w:eastAsia="Times New Roman" w:hAnsi="Times New Roman" w:cs="Times New Roman"/>
          <w:sz w:val="24"/>
          <w:szCs w:val="24"/>
        </w:rPr>
      </w:pPr>
    </w:p>
    <w:tbl>
      <w:tblPr>
        <w:tblW w:w="5250" w:type="dxa"/>
        <w:tblBorders>
          <w:top w:val="single" w:sz="6" w:space="0" w:color="auto"/>
          <w:left w:val="single" w:sz="6" w:space="0" w:color="auto"/>
          <w:bottom w:val="single" w:sz="6" w:space="0" w:color="auto"/>
          <w:right w:val="single" w:sz="6" w:space="0" w:color="auto"/>
        </w:tblBorders>
        <w:tblCellMar>
          <w:top w:w="15" w:type="dxa"/>
          <w:left w:w="60" w:type="dxa"/>
          <w:bottom w:w="15" w:type="dxa"/>
          <w:right w:w="60" w:type="dxa"/>
        </w:tblCellMar>
        <w:tblLook w:val="04A0"/>
      </w:tblPr>
      <w:tblGrid>
        <w:gridCol w:w="5250"/>
      </w:tblGrid>
      <w:tr w:rsidR="006B4EF2" w:rsidRPr="006B4EF2" w:rsidTr="006B4EF2">
        <w:trPr>
          <w:trHeight w:val="375"/>
        </w:trPr>
        <w:tc>
          <w:tcPr>
            <w:tcW w:w="0" w:type="auto"/>
            <w:tcBorders>
              <w:top w:val="nil"/>
              <w:left w:val="nil"/>
              <w:bottom w:val="nil"/>
              <w:right w:val="nil"/>
            </w:tcBorders>
            <w:vAlign w:val="center"/>
            <w:hideMark/>
          </w:tcPr>
          <w:p w:rsidR="006B4EF2" w:rsidRPr="006B4EF2" w:rsidRDefault="006B4EF2" w:rsidP="006B4EF2">
            <w:pPr>
              <w:spacing w:after="0" w:line="240" w:lineRule="auto"/>
              <w:rPr>
                <w:rFonts w:ascii="Times New Roman" w:eastAsia="Times New Roman" w:hAnsi="Times New Roman" w:cs="Times New Roman"/>
                <w:sz w:val="24"/>
                <w:szCs w:val="24"/>
              </w:rPr>
            </w:pPr>
            <w:r w:rsidRPr="006B4EF2">
              <w:rPr>
                <w:rFonts w:ascii="Arial" w:eastAsia="Times New Roman" w:hAnsi="Arial" w:cs="Arial"/>
                <w:b/>
                <w:bCs/>
                <w:sz w:val="20"/>
                <w:szCs w:val="20"/>
              </w:rPr>
              <w:t>Rational Scales</w:t>
            </w:r>
          </w:p>
        </w:tc>
      </w:tr>
      <w:tr w:rsidR="006B4EF2" w:rsidRPr="006B4EF2" w:rsidTr="006B4EF2">
        <w:tc>
          <w:tcPr>
            <w:tcW w:w="0" w:type="auto"/>
            <w:tcBorders>
              <w:top w:val="nil"/>
              <w:left w:val="nil"/>
              <w:bottom w:val="nil"/>
              <w:right w:val="nil"/>
            </w:tcBorders>
            <w:vAlign w:val="center"/>
            <w:hideMark/>
          </w:tcPr>
          <w:p w:rsidR="006B4EF2" w:rsidRPr="006B4EF2" w:rsidRDefault="006B4EF2" w:rsidP="006B4E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Violence Potential</w:t>
            </w:r>
          </w:p>
          <w:p w:rsidR="006B4EF2" w:rsidRPr="006B4EF2" w:rsidRDefault="006B4EF2" w:rsidP="006B4EF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B4EF2">
              <w:rPr>
                <w:rFonts w:ascii="Arial" w:eastAsia="Times New Roman" w:hAnsi="Arial" w:cs="Arial"/>
                <w:sz w:val="20"/>
                <w:szCs w:val="20"/>
              </w:rPr>
              <w:t>Physical Symptoms</w:t>
            </w:r>
          </w:p>
        </w:tc>
      </w:tr>
    </w:tbl>
    <w:p w:rsidR="00B170F4" w:rsidRPr="00B170F4" w:rsidRDefault="00B170F4" w:rsidP="00B170F4">
      <w:pPr>
        <w:spacing w:after="0"/>
        <w:rPr>
          <w:rFonts w:ascii="Verdana" w:hAnsi="Verdana"/>
          <w:sz w:val="18"/>
          <w:szCs w:val="18"/>
        </w:rPr>
      </w:pPr>
      <w:r w:rsidRPr="00B170F4">
        <w:rPr>
          <w:rFonts w:ascii="Verdana" w:hAnsi="Verdana"/>
          <w:sz w:val="18"/>
          <w:szCs w:val="18"/>
        </w:rPr>
        <w:t>The Empirical Scales identify a wide range of emotional, behavioral, and academic problems; the Rational Scales alert you to the student's potential for violence; and the DSM-IV-TR Symptom Scales support formal diagnosis by linking symptoms to established diagnostic criteria.</w:t>
      </w:r>
    </w:p>
    <w:p w:rsidR="00B170F4" w:rsidRPr="00B170F4" w:rsidRDefault="00B170F4" w:rsidP="00B170F4">
      <w:pPr>
        <w:spacing w:after="0"/>
        <w:rPr>
          <w:rFonts w:ascii="Verdana" w:hAnsi="Verdana"/>
          <w:sz w:val="18"/>
          <w:szCs w:val="18"/>
        </w:rPr>
      </w:pPr>
    </w:p>
    <w:p w:rsidR="00B170F4" w:rsidRPr="006B4EF2" w:rsidRDefault="00B170F4" w:rsidP="00B170F4">
      <w:pPr>
        <w:spacing w:after="0"/>
        <w:rPr>
          <w:rFonts w:ascii="Verdana" w:hAnsi="Verdana"/>
          <w:b/>
          <w:bCs/>
          <w:sz w:val="18"/>
          <w:szCs w:val="18"/>
        </w:rPr>
      </w:pPr>
      <w:r w:rsidRPr="006B4EF2">
        <w:rPr>
          <w:rFonts w:ascii="Verdana" w:hAnsi="Verdana"/>
          <w:b/>
          <w:bCs/>
          <w:sz w:val="18"/>
          <w:szCs w:val="18"/>
        </w:rPr>
        <w:t>Critical Items and Indicators</w:t>
      </w:r>
    </w:p>
    <w:p w:rsidR="00B170F4" w:rsidRPr="00B170F4" w:rsidRDefault="00B170F4" w:rsidP="00B170F4">
      <w:pPr>
        <w:spacing w:after="0"/>
        <w:rPr>
          <w:rFonts w:ascii="Verdana" w:hAnsi="Verdana"/>
          <w:sz w:val="18"/>
          <w:szCs w:val="18"/>
        </w:rPr>
      </w:pPr>
      <w:r w:rsidRPr="00B170F4">
        <w:rPr>
          <w:rFonts w:ascii="Verdana" w:hAnsi="Verdana"/>
          <w:sz w:val="18"/>
          <w:szCs w:val="18"/>
        </w:rPr>
        <w:t>While scale scores are important, useful information can be derived from specific items as well. These items, along clinical indicators, reveal issues that may warrant further investigation severe conduct, self harm, functional impairment, bullying, panic attack, post-traumatic stress disorder, enuresis/</w:t>
      </w:r>
      <w:proofErr w:type="spellStart"/>
      <w:r w:rsidRPr="00B170F4">
        <w:rPr>
          <w:rFonts w:ascii="Verdana" w:hAnsi="Verdana"/>
          <w:sz w:val="18"/>
          <w:szCs w:val="18"/>
        </w:rPr>
        <w:t>encopresis</w:t>
      </w:r>
      <w:proofErr w:type="spellEnd"/>
      <w:r w:rsidRPr="00B170F4">
        <w:rPr>
          <w:rFonts w:ascii="Verdana" w:hAnsi="Verdana"/>
          <w:sz w:val="18"/>
          <w:szCs w:val="18"/>
        </w:rPr>
        <w:t>, pervasive developmental disorder, specific phobia, substance use, tics, and more.</w:t>
      </w:r>
    </w:p>
    <w:p w:rsidR="00B170F4" w:rsidRPr="006B4EF2" w:rsidRDefault="00B170F4" w:rsidP="00B170F4">
      <w:pPr>
        <w:spacing w:after="0"/>
        <w:rPr>
          <w:rFonts w:ascii="Verdana" w:hAnsi="Verdana"/>
          <w:b/>
          <w:bCs/>
          <w:sz w:val="18"/>
          <w:szCs w:val="18"/>
        </w:rPr>
      </w:pPr>
    </w:p>
    <w:p w:rsidR="00B170F4" w:rsidRPr="006B4EF2" w:rsidRDefault="00B170F4" w:rsidP="00B170F4">
      <w:pPr>
        <w:spacing w:after="0"/>
        <w:rPr>
          <w:rFonts w:ascii="Verdana" w:hAnsi="Verdana"/>
          <w:b/>
          <w:bCs/>
          <w:sz w:val="18"/>
          <w:szCs w:val="18"/>
        </w:rPr>
      </w:pPr>
      <w:r w:rsidRPr="006B4EF2">
        <w:rPr>
          <w:rFonts w:ascii="Verdana" w:hAnsi="Verdana"/>
          <w:b/>
          <w:bCs/>
          <w:sz w:val="18"/>
          <w:szCs w:val="18"/>
        </w:rPr>
        <w:t>Clinical Index</w:t>
      </w:r>
    </w:p>
    <w:p w:rsidR="00B170F4" w:rsidRPr="00B170F4" w:rsidRDefault="00B170F4" w:rsidP="00B170F4">
      <w:pPr>
        <w:spacing w:after="0"/>
        <w:rPr>
          <w:rFonts w:ascii="Verdana" w:hAnsi="Verdana"/>
          <w:sz w:val="18"/>
          <w:szCs w:val="18"/>
        </w:rPr>
      </w:pPr>
      <w:r w:rsidRPr="00B170F4">
        <w:rPr>
          <w:rFonts w:ascii="Verdana" w:hAnsi="Verdana"/>
          <w:sz w:val="18"/>
          <w:szCs w:val="18"/>
        </w:rPr>
        <w:t>The CBRS also includes a 25-item Clinical Index, which tells you how likely it is that a given child will have a clinical diagnosis. Completed in less than 5 minutes, it is useful when you are monitoring treatment progress and must assess the child repeatedly. Although it is included on the teacher, parent, and self-report forms, the Clinical Index can also be purchased separately.</w:t>
      </w:r>
    </w:p>
    <w:p w:rsidR="00B170F4" w:rsidRPr="00B170F4" w:rsidRDefault="00B170F4" w:rsidP="00B170F4">
      <w:pPr>
        <w:spacing w:after="0"/>
        <w:rPr>
          <w:rFonts w:ascii="Verdana" w:hAnsi="Verdana"/>
          <w:sz w:val="18"/>
          <w:szCs w:val="18"/>
        </w:rPr>
      </w:pPr>
    </w:p>
    <w:p w:rsidR="00B170F4" w:rsidRPr="006B4EF2" w:rsidRDefault="00B170F4" w:rsidP="00B170F4">
      <w:pPr>
        <w:spacing w:after="0"/>
        <w:rPr>
          <w:rFonts w:ascii="Verdana" w:hAnsi="Verdana"/>
          <w:b/>
          <w:bCs/>
          <w:sz w:val="18"/>
          <w:szCs w:val="18"/>
        </w:rPr>
      </w:pPr>
      <w:r w:rsidRPr="006B4EF2">
        <w:rPr>
          <w:rFonts w:ascii="Verdana" w:hAnsi="Verdana"/>
          <w:b/>
          <w:bCs/>
          <w:sz w:val="18"/>
          <w:szCs w:val="18"/>
        </w:rPr>
        <w:t>Unlimited-Use Computer Scoring</w:t>
      </w:r>
    </w:p>
    <w:p w:rsidR="00B170F4" w:rsidRPr="00B170F4" w:rsidRDefault="00B170F4" w:rsidP="00B170F4">
      <w:pPr>
        <w:spacing w:after="0"/>
        <w:rPr>
          <w:rFonts w:ascii="Verdana" w:hAnsi="Verdana"/>
          <w:sz w:val="18"/>
          <w:szCs w:val="18"/>
        </w:rPr>
      </w:pPr>
      <w:r w:rsidRPr="00B170F4">
        <w:rPr>
          <w:rFonts w:ascii="Verdana" w:hAnsi="Verdana"/>
          <w:sz w:val="18"/>
          <w:szCs w:val="18"/>
        </w:rPr>
        <w:t>Because the CBRS is such a comprehensive test, it must be computer scored. With unlimited-use software, you can quickly score the test and generate a variety of helpful reports that provide clear links to DSM-IV-TR diagnostic criteria and IDEA eligibility indicators. Portions of these reports can be cut and pasted into your own documents, allowing you to create individualized narratives for each student assessed.</w:t>
      </w:r>
    </w:p>
    <w:p w:rsidR="00B170F4" w:rsidRPr="006B4EF2" w:rsidRDefault="00B170F4" w:rsidP="00B170F4">
      <w:pPr>
        <w:spacing w:after="0"/>
        <w:rPr>
          <w:rFonts w:ascii="Verdana" w:hAnsi="Verdana"/>
          <w:b/>
          <w:bCs/>
          <w:sz w:val="18"/>
          <w:szCs w:val="18"/>
        </w:rPr>
      </w:pPr>
    </w:p>
    <w:p w:rsidR="00B170F4" w:rsidRPr="006B4EF2" w:rsidRDefault="00B170F4" w:rsidP="00B170F4">
      <w:pPr>
        <w:spacing w:after="0"/>
        <w:rPr>
          <w:rFonts w:ascii="Verdana" w:hAnsi="Verdana"/>
          <w:b/>
          <w:bCs/>
          <w:sz w:val="18"/>
          <w:szCs w:val="18"/>
        </w:rPr>
      </w:pPr>
      <w:r w:rsidRPr="006B4EF2">
        <w:rPr>
          <w:rFonts w:ascii="Verdana" w:hAnsi="Verdana"/>
          <w:b/>
          <w:bCs/>
          <w:sz w:val="18"/>
          <w:szCs w:val="18"/>
        </w:rPr>
        <w:t>A Single Instrument Answering Diverse Needs</w:t>
      </w:r>
    </w:p>
    <w:p w:rsidR="00B170F4" w:rsidRPr="00B170F4" w:rsidRDefault="00B170F4" w:rsidP="00B170F4">
      <w:pPr>
        <w:spacing w:after="0"/>
        <w:rPr>
          <w:rFonts w:ascii="Verdana" w:hAnsi="Verdana"/>
          <w:sz w:val="18"/>
          <w:szCs w:val="18"/>
        </w:rPr>
      </w:pPr>
      <w:r w:rsidRPr="00B170F4">
        <w:rPr>
          <w:rFonts w:ascii="Verdana" w:hAnsi="Verdana"/>
          <w:sz w:val="18"/>
          <w:szCs w:val="18"/>
        </w:rPr>
        <w:t>No matter how diverse your students or young clients are, the CBRS can help you identify their problems or determine their diagnoses. It can tell you who qualifies for special services, which interventions are likely to be effective, and how well treatment is working. This single assessment addresses a multitude of problems and guides you toward individualized solutions.</w:t>
      </w:r>
    </w:p>
    <w:p w:rsidR="006B4EF2" w:rsidRPr="00B25C29" w:rsidRDefault="006B4EF2" w:rsidP="00B170F4">
      <w:pPr>
        <w:spacing w:after="0"/>
        <w:rPr>
          <w:rFonts w:ascii="Verdana" w:hAnsi="Verdana"/>
          <w:b/>
          <w:bCs/>
          <w:i/>
          <w:iCs/>
          <w:sz w:val="18"/>
          <w:szCs w:val="18"/>
        </w:rPr>
      </w:pPr>
    </w:p>
    <w:p w:rsidR="00B170F4" w:rsidRPr="00B25C29" w:rsidRDefault="00B170F4" w:rsidP="00B170F4">
      <w:pPr>
        <w:spacing w:after="0"/>
        <w:rPr>
          <w:rFonts w:ascii="Verdana" w:hAnsi="Verdana"/>
          <w:b/>
          <w:bCs/>
          <w:i/>
          <w:iCs/>
          <w:sz w:val="18"/>
          <w:szCs w:val="18"/>
        </w:rPr>
      </w:pPr>
      <w:r w:rsidRPr="00B25C29">
        <w:rPr>
          <w:rFonts w:ascii="Verdana" w:hAnsi="Verdana"/>
          <w:b/>
          <w:bCs/>
          <w:i/>
          <w:iCs/>
          <w:sz w:val="18"/>
          <w:szCs w:val="18"/>
        </w:rPr>
        <w:t>Component</w:t>
      </w:r>
      <w:r w:rsidR="00B25C29">
        <w:rPr>
          <w:rFonts w:ascii="Verdana" w:hAnsi="Verdana"/>
          <w:b/>
          <w:bCs/>
          <w:i/>
          <w:iCs/>
          <w:sz w:val="18"/>
          <w:szCs w:val="18"/>
        </w:rPr>
        <w:t xml:space="preserve">: </w:t>
      </w:r>
    </w:p>
    <w:p w:rsidR="00B170F4" w:rsidRPr="00B170F4" w:rsidRDefault="00B170F4" w:rsidP="00B170F4">
      <w:pPr>
        <w:spacing w:after="0"/>
        <w:rPr>
          <w:rFonts w:ascii="Verdana" w:hAnsi="Verdana"/>
          <w:sz w:val="18"/>
          <w:szCs w:val="18"/>
        </w:rPr>
      </w:pPr>
      <w:r w:rsidRPr="00B170F4">
        <w:rPr>
          <w:rFonts w:ascii="Verdana" w:hAnsi="Verdana"/>
          <w:sz w:val="18"/>
          <w:szCs w:val="18"/>
        </w:rPr>
        <w:t>SOFTWARE KIT: Includes Unlimited-Use Scoring Software Installation (USB Key); 25 Teacher Response Booklets; 25 Parent Response Booklets; 25 Self-Report Response Booklets; 1 Manual. Required: PC with Windows 98 or above (including Vista)</w:t>
      </w:r>
    </w:p>
    <w:p w:rsidR="00B170F4" w:rsidRPr="00B170F4" w:rsidRDefault="00B170F4" w:rsidP="00B170F4">
      <w:pPr>
        <w:spacing w:after="0"/>
        <w:rPr>
          <w:rFonts w:ascii="Verdana" w:hAnsi="Verdana"/>
          <w:sz w:val="18"/>
          <w:szCs w:val="18"/>
        </w:rPr>
      </w:pPr>
      <w:r w:rsidRPr="00B170F4">
        <w:rPr>
          <w:rFonts w:ascii="Verdana" w:hAnsi="Verdana"/>
          <w:sz w:val="18"/>
          <w:szCs w:val="18"/>
        </w:rPr>
        <w:tab/>
      </w:r>
    </w:p>
    <w:p w:rsidR="00E04079" w:rsidRPr="00B170F4" w:rsidRDefault="00B170F4" w:rsidP="00B170F4">
      <w:pPr>
        <w:spacing w:after="0"/>
        <w:rPr>
          <w:rFonts w:ascii="Verdana" w:hAnsi="Verdana"/>
          <w:sz w:val="18"/>
          <w:szCs w:val="18"/>
        </w:rPr>
      </w:pPr>
      <w:r w:rsidRPr="00B170F4">
        <w:rPr>
          <w:rFonts w:ascii="Verdana" w:hAnsi="Verdana"/>
          <w:sz w:val="18"/>
          <w:szCs w:val="18"/>
        </w:rPr>
        <w:lastRenderedPageBreak/>
        <w:tab/>
      </w:r>
    </w:p>
    <w:p w:rsidR="00B170F4" w:rsidRPr="00B170F4" w:rsidRDefault="00B170F4" w:rsidP="00B170F4">
      <w:pPr>
        <w:spacing w:after="0"/>
        <w:rPr>
          <w:rFonts w:ascii="Verdana" w:hAnsi="Verdana"/>
          <w:sz w:val="18"/>
          <w:szCs w:val="18"/>
        </w:rPr>
      </w:pPr>
    </w:p>
    <w:sectPr w:rsidR="00B170F4" w:rsidRPr="00B170F4" w:rsidSect="00E040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63E2"/>
    <w:multiLevelType w:val="hybridMultilevel"/>
    <w:tmpl w:val="BE70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87994"/>
    <w:multiLevelType w:val="multilevel"/>
    <w:tmpl w:val="E5D2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76ED8"/>
    <w:multiLevelType w:val="multilevel"/>
    <w:tmpl w:val="453A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0157B2"/>
    <w:multiLevelType w:val="hybridMultilevel"/>
    <w:tmpl w:val="08EE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001F11"/>
    <w:multiLevelType w:val="multilevel"/>
    <w:tmpl w:val="072C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60731B"/>
    <w:multiLevelType w:val="hybridMultilevel"/>
    <w:tmpl w:val="24C4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FCE"/>
    <w:rsid w:val="006B4EF2"/>
    <w:rsid w:val="00B170F4"/>
    <w:rsid w:val="00B25C29"/>
    <w:rsid w:val="00BD0FCE"/>
    <w:rsid w:val="00E04079"/>
    <w:rsid w:val="00FC4E3B"/>
  </w:rsids>
  <m:mathPr>
    <m:mathFont m:val="Cambria Math"/>
    <m:brkBin m:val="before"/>
    <m:brkBinSub m:val="--"/>
    <m:smallFrac m:val="off"/>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70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0F4"/>
    <w:rPr>
      <w:b/>
      <w:bCs/>
    </w:rPr>
  </w:style>
  <w:style w:type="character" w:styleId="Hyperlink">
    <w:name w:val="Hyperlink"/>
    <w:basedOn w:val="DefaultParagraphFont"/>
    <w:uiPriority w:val="99"/>
    <w:semiHidden/>
    <w:unhideWhenUsed/>
    <w:rsid w:val="00B170F4"/>
    <w:rPr>
      <w:color w:val="0000FF"/>
      <w:u w:val="single"/>
    </w:rPr>
  </w:style>
  <w:style w:type="paragraph" w:styleId="BalloonText">
    <w:name w:val="Balloon Text"/>
    <w:basedOn w:val="Normal"/>
    <w:link w:val="BalloonTextChar"/>
    <w:uiPriority w:val="99"/>
    <w:semiHidden/>
    <w:unhideWhenUsed/>
    <w:rsid w:val="00B17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F4"/>
    <w:rPr>
      <w:rFonts w:ascii="Tahoma" w:hAnsi="Tahoma" w:cs="Tahoma"/>
      <w:sz w:val="16"/>
      <w:szCs w:val="16"/>
    </w:rPr>
  </w:style>
  <w:style w:type="paragraph" w:styleId="ListParagraph">
    <w:name w:val="List Paragraph"/>
    <w:basedOn w:val="Normal"/>
    <w:uiPriority w:val="34"/>
    <w:qFormat/>
    <w:rsid w:val="00B170F4"/>
    <w:pPr>
      <w:ind w:left="720"/>
      <w:contextualSpacing/>
    </w:pPr>
  </w:style>
</w:styles>
</file>

<file path=word/webSettings.xml><?xml version="1.0" encoding="utf-8"?>
<w:webSettings xmlns:r="http://schemas.openxmlformats.org/officeDocument/2006/relationships" xmlns:w="http://schemas.openxmlformats.org/wordprocessingml/2006/main">
  <w:divs>
    <w:div w:id="60641144">
      <w:bodyDiv w:val="1"/>
      <w:marLeft w:val="0"/>
      <w:marRight w:val="0"/>
      <w:marTop w:val="0"/>
      <w:marBottom w:val="0"/>
      <w:divBdr>
        <w:top w:val="none" w:sz="0" w:space="0" w:color="auto"/>
        <w:left w:val="none" w:sz="0" w:space="0" w:color="auto"/>
        <w:bottom w:val="none" w:sz="0" w:space="0" w:color="auto"/>
        <w:right w:val="none" w:sz="0" w:space="0" w:color="auto"/>
      </w:divBdr>
      <w:divsChild>
        <w:div w:id="66804793">
          <w:marLeft w:val="0"/>
          <w:marRight w:val="0"/>
          <w:marTop w:val="0"/>
          <w:marBottom w:val="0"/>
          <w:divBdr>
            <w:top w:val="none" w:sz="0" w:space="0" w:color="auto"/>
            <w:left w:val="none" w:sz="0" w:space="0" w:color="auto"/>
            <w:bottom w:val="none" w:sz="0" w:space="0" w:color="auto"/>
            <w:right w:val="none" w:sz="0" w:space="0" w:color="auto"/>
          </w:divBdr>
        </w:div>
        <w:div w:id="262032072">
          <w:marLeft w:val="0"/>
          <w:marRight w:val="0"/>
          <w:marTop w:val="0"/>
          <w:marBottom w:val="0"/>
          <w:divBdr>
            <w:top w:val="none" w:sz="0" w:space="0" w:color="auto"/>
            <w:left w:val="none" w:sz="0" w:space="0" w:color="auto"/>
            <w:bottom w:val="none" w:sz="0" w:space="0" w:color="auto"/>
            <w:right w:val="none" w:sz="0" w:space="0" w:color="auto"/>
          </w:divBdr>
        </w:div>
        <w:div w:id="160971983">
          <w:marLeft w:val="0"/>
          <w:marRight w:val="0"/>
          <w:marTop w:val="0"/>
          <w:marBottom w:val="0"/>
          <w:divBdr>
            <w:top w:val="none" w:sz="0" w:space="0" w:color="auto"/>
            <w:left w:val="none" w:sz="0" w:space="0" w:color="auto"/>
            <w:bottom w:val="none" w:sz="0" w:space="0" w:color="auto"/>
            <w:right w:val="none" w:sz="0" w:space="0" w:color="auto"/>
          </w:divBdr>
        </w:div>
        <w:div w:id="1881476386">
          <w:marLeft w:val="0"/>
          <w:marRight w:val="0"/>
          <w:marTop w:val="0"/>
          <w:marBottom w:val="0"/>
          <w:divBdr>
            <w:top w:val="none" w:sz="0" w:space="0" w:color="auto"/>
            <w:left w:val="none" w:sz="0" w:space="0" w:color="auto"/>
            <w:bottom w:val="none" w:sz="0" w:space="0" w:color="auto"/>
            <w:right w:val="none" w:sz="0" w:space="0" w:color="auto"/>
          </w:divBdr>
        </w:div>
        <w:div w:id="1553033020">
          <w:marLeft w:val="0"/>
          <w:marRight w:val="0"/>
          <w:marTop w:val="0"/>
          <w:marBottom w:val="0"/>
          <w:divBdr>
            <w:top w:val="none" w:sz="0" w:space="0" w:color="auto"/>
            <w:left w:val="none" w:sz="0" w:space="0" w:color="auto"/>
            <w:bottom w:val="none" w:sz="0" w:space="0" w:color="auto"/>
            <w:right w:val="none" w:sz="0" w:space="0" w:color="auto"/>
          </w:divBdr>
        </w:div>
        <w:div w:id="135539258">
          <w:marLeft w:val="0"/>
          <w:marRight w:val="0"/>
          <w:marTop w:val="0"/>
          <w:marBottom w:val="0"/>
          <w:divBdr>
            <w:top w:val="none" w:sz="0" w:space="0" w:color="auto"/>
            <w:left w:val="none" w:sz="0" w:space="0" w:color="auto"/>
            <w:bottom w:val="none" w:sz="0" w:space="0" w:color="auto"/>
            <w:right w:val="none" w:sz="0" w:space="0" w:color="auto"/>
          </w:divBdr>
        </w:div>
        <w:div w:id="439185380">
          <w:marLeft w:val="0"/>
          <w:marRight w:val="0"/>
          <w:marTop w:val="0"/>
          <w:marBottom w:val="0"/>
          <w:divBdr>
            <w:top w:val="none" w:sz="0" w:space="0" w:color="auto"/>
            <w:left w:val="none" w:sz="0" w:space="0" w:color="auto"/>
            <w:bottom w:val="none" w:sz="0" w:space="0" w:color="auto"/>
            <w:right w:val="none" w:sz="0" w:space="0" w:color="auto"/>
          </w:divBdr>
        </w:div>
        <w:div w:id="300699173">
          <w:marLeft w:val="0"/>
          <w:marRight w:val="0"/>
          <w:marTop w:val="0"/>
          <w:marBottom w:val="0"/>
          <w:divBdr>
            <w:top w:val="none" w:sz="0" w:space="0" w:color="auto"/>
            <w:left w:val="none" w:sz="0" w:space="0" w:color="auto"/>
            <w:bottom w:val="none" w:sz="0" w:space="0" w:color="auto"/>
            <w:right w:val="none" w:sz="0" w:space="0" w:color="auto"/>
          </w:divBdr>
        </w:div>
        <w:div w:id="2142383429">
          <w:marLeft w:val="0"/>
          <w:marRight w:val="0"/>
          <w:marTop w:val="0"/>
          <w:marBottom w:val="0"/>
          <w:divBdr>
            <w:top w:val="none" w:sz="0" w:space="0" w:color="auto"/>
            <w:left w:val="none" w:sz="0" w:space="0" w:color="auto"/>
            <w:bottom w:val="none" w:sz="0" w:space="0" w:color="auto"/>
            <w:right w:val="none" w:sz="0" w:space="0" w:color="auto"/>
          </w:divBdr>
        </w:div>
        <w:div w:id="1374379538">
          <w:marLeft w:val="0"/>
          <w:marRight w:val="0"/>
          <w:marTop w:val="0"/>
          <w:marBottom w:val="0"/>
          <w:divBdr>
            <w:top w:val="none" w:sz="0" w:space="0" w:color="auto"/>
            <w:left w:val="none" w:sz="0" w:space="0" w:color="auto"/>
            <w:bottom w:val="none" w:sz="0" w:space="0" w:color="auto"/>
            <w:right w:val="none" w:sz="0" w:space="0" w:color="auto"/>
          </w:divBdr>
        </w:div>
        <w:div w:id="766270176">
          <w:marLeft w:val="0"/>
          <w:marRight w:val="0"/>
          <w:marTop w:val="0"/>
          <w:marBottom w:val="0"/>
          <w:divBdr>
            <w:top w:val="none" w:sz="0" w:space="0" w:color="auto"/>
            <w:left w:val="none" w:sz="0" w:space="0" w:color="auto"/>
            <w:bottom w:val="none" w:sz="0" w:space="0" w:color="auto"/>
            <w:right w:val="none" w:sz="0" w:space="0" w:color="auto"/>
          </w:divBdr>
        </w:div>
        <w:div w:id="1472164632">
          <w:marLeft w:val="0"/>
          <w:marRight w:val="0"/>
          <w:marTop w:val="0"/>
          <w:marBottom w:val="0"/>
          <w:divBdr>
            <w:top w:val="none" w:sz="0" w:space="0" w:color="auto"/>
            <w:left w:val="none" w:sz="0" w:space="0" w:color="auto"/>
            <w:bottom w:val="none" w:sz="0" w:space="0" w:color="auto"/>
            <w:right w:val="none" w:sz="0" w:space="0" w:color="auto"/>
          </w:divBdr>
        </w:div>
      </w:divsChild>
    </w:div>
    <w:div w:id="274757579">
      <w:bodyDiv w:val="1"/>
      <w:marLeft w:val="0"/>
      <w:marRight w:val="0"/>
      <w:marTop w:val="0"/>
      <w:marBottom w:val="0"/>
      <w:divBdr>
        <w:top w:val="none" w:sz="0" w:space="0" w:color="auto"/>
        <w:left w:val="none" w:sz="0" w:space="0" w:color="auto"/>
        <w:bottom w:val="none" w:sz="0" w:space="0" w:color="auto"/>
        <w:right w:val="none" w:sz="0" w:space="0" w:color="auto"/>
      </w:divBdr>
      <w:divsChild>
        <w:div w:id="20329217">
          <w:marLeft w:val="0"/>
          <w:marRight w:val="0"/>
          <w:marTop w:val="0"/>
          <w:marBottom w:val="0"/>
          <w:divBdr>
            <w:top w:val="none" w:sz="0" w:space="0" w:color="auto"/>
            <w:left w:val="none" w:sz="0" w:space="0" w:color="auto"/>
            <w:bottom w:val="none" w:sz="0" w:space="0" w:color="auto"/>
            <w:right w:val="none" w:sz="0" w:space="0" w:color="auto"/>
          </w:divBdr>
        </w:div>
        <w:div w:id="1336692809">
          <w:marLeft w:val="0"/>
          <w:marRight w:val="0"/>
          <w:marTop w:val="0"/>
          <w:marBottom w:val="0"/>
          <w:divBdr>
            <w:top w:val="none" w:sz="0" w:space="0" w:color="auto"/>
            <w:left w:val="none" w:sz="0" w:space="0" w:color="auto"/>
            <w:bottom w:val="none" w:sz="0" w:space="0" w:color="auto"/>
            <w:right w:val="none" w:sz="0" w:space="0" w:color="auto"/>
          </w:divBdr>
        </w:div>
        <w:div w:id="346909196">
          <w:marLeft w:val="0"/>
          <w:marRight w:val="0"/>
          <w:marTop w:val="0"/>
          <w:marBottom w:val="0"/>
          <w:divBdr>
            <w:top w:val="none" w:sz="0" w:space="0" w:color="auto"/>
            <w:left w:val="none" w:sz="0" w:space="0" w:color="auto"/>
            <w:bottom w:val="none" w:sz="0" w:space="0" w:color="auto"/>
            <w:right w:val="none" w:sz="0" w:space="0" w:color="auto"/>
          </w:divBdr>
        </w:div>
        <w:div w:id="112135852">
          <w:marLeft w:val="0"/>
          <w:marRight w:val="0"/>
          <w:marTop w:val="0"/>
          <w:marBottom w:val="0"/>
          <w:divBdr>
            <w:top w:val="none" w:sz="0" w:space="0" w:color="auto"/>
            <w:left w:val="none" w:sz="0" w:space="0" w:color="auto"/>
            <w:bottom w:val="none" w:sz="0" w:space="0" w:color="auto"/>
            <w:right w:val="none" w:sz="0" w:space="0" w:color="auto"/>
          </w:divBdr>
        </w:div>
        <w:div w:id="214630998">
          <w:marLeft w:val="0"/>
          <w:marRight w:val="0"/>
          <w:marTop w:val="0"/>
          <w:marBottom w:val="0"/>
          <w:divBdr>
            <w:top w:val="none" w:sz="0" w:space="0" w:color="auto"/>
            <w:left w:val="none" w:sz="0" w:space="0" w:color="auto"/>
            <w:bottom w:val="none" w:sz="0" w:space="0" w:color="auto"/>
            <w:right w:val="none" w:sz="0" w:space="0" w:color="auto"/>
          </w:divBdr>
        </w:div>
        <w:div w:id="486871072">
          <w:marLeft w:val="0"/>
          <w:marRight w:val="0"/>
          <w:marTop w:val="0"/>
          <w:marBottom w:val="0"/>
          <w:divBdr>
            <w:top w:val="none" w:sz="0" w:space="0" w:color="auto"/>
            <w:left w:val="none" w:sz="0" w:space="0" w:color="auto"/>
            <w:bottom w:val="none" w:sz="0" w:space="0" w:color="auto"/>
            <w:right w:val="none" w:sz="0" w:space="0" w:color="auto"/>
          </w:divBdr>
        </w:div>
        <w:div w:id="367723201">
          <w:marLeft w:val="0"/>
          <w:marRight w:val="0"/>
          <w:marTop w:val="0"/>
          <w:marBottom w:val="0"/>
          <w:divBdr>
            <w:top w:val="none" w:sz="0" w:space="0" w:color="auto"/>
            <w:left w:val="none" w:sz="0" w:space="0" w:color="auto"/>
            <w:bottom w:val="none" w:sz="0" w:space="0" w:color="auto"/>
            <w:right w:val="none" w:sz="0" w:space="0" w:color="auto"/>
          </w:divBdr>
        </w:div>
        <w:div w:id="526800412">
          <w:marLeft w:val="0"/>
          <w:marRight w:val="0"/>
          <w:marTop w:val="0"/>
          <w:marBottom w:val="0"/>
          <w:divBdr>
            <w:top w:val="none" w:sz="0" w:space="0" w:color="auto"/>
            <w:left w:val="none" w:sz="0" w:space="0" w:color="auto"/>
            <w:bottom w:val="none" w:sz="0" w:space="0" w:color="auto"/>
            <w:right w:val="none" w:sz="0" w:space="0" w:color="auto"/>
          </w:divBdr>
        </w:div>
        <w:div w:id="2051297549">
          <w:marLeft w:val="0"/>
          <w:marRight w:val="0"/>
          <w:marTop w:val="0"/>
          <w:marBottom w:val="0"/>
          <w:divBdr>
            <w:top w:val="none" w:sz="0" w:space="0" w:color="auto"/>
            <w:left w:val="none" w:sz="0" w:space="0" w:color="auto"/>
            <w:bottom w:val="none" w:sz="0" w:space="0" w:color="auto"/>
            <w:right w:val="none" w:sz="0" w:space="0" w:color="auto"/>
          </w:divBdr>
        </w:div>
        <w:div w:id="282394786">
          <w:marLeft w:val="0"/>
          <w:marRight w:val="0"/>
          <w:marTop w:val="0"/>
          <w:marBottom w:val="0"/>
          <w:divBdr>
            <w:top w:val="none" w:sz="0" w:space="0" w:color="auto"/>
            <w:left w:val="none" w:sz="0" w:space="0" w:color="auto"/>
            <w:bottom w:val="none" w:sz="0" w:space="0" w:color="auto"/>
            <w:right w:val="none" w:sz="0" w:space="0" w:color="auto"/>
          </w:divBdr>
        </w:div>
        <w:div w:id="1493594722">
          <w:marLeft w:val="0"/>
          <w:marRight w:val="0"/>
          <w:marTop w:val="0"/>
          <w:marBottom w:val="0"/>
          <w:divBdr>
            <w:top w:val="none" w:sz="0" w:space="0" w:color="auto"/>
            <w:left w:val="none" w:sz="0" w:space="0" w:color="auto"/>
            <w:bottom w:val="none" w:sz="0" w:space="0" w:color="auto"/>
            <w:right w:val="none" w:sz="0" w:space="0" w:color="auto"/>
          </w:divBdr>
        </w:div>
        <w:div w:id="904989665">
          <w:marLeft w:val="0"/>
          <w:marRight w:val="0"/>
          <w:marTop w:val="0"/>
          <w:marBottom w:val="0"/>
          <w:divBdr>
            <w:top w:val="none" w:sz="0" w:space="0" w:color="auto"/>
            <w:left w:val="none" w:sz="0" w:space="0" w:color="auto"/>
            <w:bottom w:val="none" w:sz="0" w:space="0" w:color="auto"/>
            <w:right w:val="none" w:sz="0" w:space="0" w:color="auto"/>
          </w:divBdr>
        </w:div>
        <w:div w:id="1390153598">
          <w:marLeft w:val="0"/>
          <w:marRight w:val="0"/>
          <w:marTop w:val="0"/>
          <w:marBottom w:val="0"/>
          <w:divBdr>
            <w:top w:val="none" w:sz="0" w:space="0" w:color="auto"/>
            <w:left w:val="none" w:sz="0" w:space="0" w:color="auto"/>
            <w:bottom w:val="none" w:sz="0" w:space="0" w:color="auto"/>
            <w:right w:val="none" w:sz="0" w:space="0" w:color="auto"/>
          </w:divBdr>
        </w:div>
        <w:div w:id="1375035886">
          <w:marLeft w:val="0"/>
          <w:marRight w:val="0"/>
          <w:marTop w:val="0"/>
          <w:marBottom w:val="0"/>
          <w:divBdr>
            <w:top w:val="none" w:sz="0" w:space="0" w:color="auto"/>
            <w:left w:val="none" w:sz="0" w:space="0" w:color="auto"/>
            <w:bottom w:val="none" w:sz="0" w:space="0" w:color="auto"/>
            <w:right w:val="none" w:sz="0" w:space="0" w:color="auto"/>
          </w:divBdr>
        </w:div>
        <w:div w:id="2111730754">
          <w:marLeft w:val="0"/>
          <w:marRight w:val="0"/>
          <w:marTop w:val="0"/>
          <w:marBottom w:val="0"/>
          <w:divBdr>
            <w:top w:val="none" w:sz="0" w:space="0" w:color="auto"/>
            <w:left w:val="none" w:sz="0" w:space="0" w:color="auto"/>
            <w:bottom w:val="none" w:sz="0" w:space="0" w:color="auto"/>
            <w:right w:val="none" w:sz="0" w:space="0" w:color="auto"/>
          </w:divBdr>
        </w:div>
        <w:div w:id="900751468">
          <w:marLeft w:val="0"/>
          <w:marRight w:val="0"/>
          <w:marTop w:val="0"/>
          <w:marBottom w:val="0"/>
          <w:divBdr>
            <w:top w:val="none" w:sz="0" w:space="0" w:color="auto"/>
            <w:left w:val="none" w:sz="0" w:space="0" w:color="auto"/>
            <w:bottom w:val="none" w:sz="0" w:space="0" w:color="auto"/>
            <w:right w:val="none" w:sz="0" w:space="0" w:color="auto"/>
          </w:divBdr>
        </w:div>
        <w:div w:id="802308946">
          <w:marLeft w:val="0"/>
          <w:marRight w:val="0"/>
          <w:marTop w:val="0"/>
          <w:marBottom w:val="0"/>
          <w:divBdr>
            <w:top w:val="none" w:sz="0" w:space="0" w:color="auto"/>
            <w:left w:val="none" w:sz="0" w:space="0" w:color="auto"/>
            <w:bottom w:val="none" w:sz="0" w:space="0" w:color="auto"/>
            <w:right w:val="none" w:sz="0" w:space="0" w:color="auto"/>
          </w:divBdr>
        </w:div>
        <w:div w:id="970865839">
          <w:marLeft w:val="0"/>
          <w:marRight w:val="0"/>
          <w:marTop w:val="0"/>
          <w:marBottom w:val="0"/>
          <w:divBdr>
            <w:top w:val="none" w:sz="0" w:space="0" w:color="auto"/>
            <w:left w:val="none" w:sz="0" w:space="0" w:color="auto"/>
            <w:bottom w:val="none" w:sz="0" w:space="0" w:color="auto"/>
            <w:right w:val="none" w:sz="0" w:space="0" w:color="auto"/>
          </w:divBdr>
        </w:div>
        <w:div w:id="268466030">
          <w:marLeft w:val="0"/>
          <w:marRight w:val="0"/>
          <w:marTop w:val="0"/>
          <w:marBottom w:val="0"/>
          <w:divBdr>
            <w:top w:val="none" w:sz="0" w:space="0" w:color="auto"/>
            <w:left w:val="none" w:sz="0" w:space="0" w:color="auto"/>
            <w:bottom w:val="none" w:sz="0" w:space="0" w:color="auto"/>
            <w:right w:val="none" w:sz="0" w:space="0" w:color="auto"/>
          </w:divBdr>
        </w:div>
        <w:div w:id="17585941">
          <w:marLeft w:val="0"/>
          <w:marRight w:val="0"/>
          <w:marTop w:val="0"/>
          <w:marBottom w:val="0"/>
          <w:divBdr>
            <w:top w:val="none" w:sz="0" w:space="0" w:color="auto"/>
            <w:left w:val="none" w:sz="0" w:space="0" w:color="auto"/>
            <w:bottom w:val="none" w:sz="0" w:space="0" w:color="auto"/>
            <w:right w:val="none" w:sz="0" w:space="0" w:color="auto"/>
          </w:divBdr>
        </w:div>
        <w:div w:id="1617176583">
          <w:marLeft w:val="0"/>
          <w:marRight w:val="0"/>
          <w:marTop w:val="0"/>
          <w:marBottom w:val="0"/>
          <w:divBdr>
            <w:top w:val="none" w:sz="0" w:space="0" w:color="auto"/>
            <w:left w:val="none" w:sz="0" w:space="0" w:color="auto"/>
            <w:bottom w:val="none" w:sz="0" w:space="0" w:color="auto"/>
            <w:right w:val="none" w:sz="0" w:space="0" w:color="auto"/>
          </w:divBdr>
        </w:div>
        <w:div w:id="906955953">
          <w:marLeft w:val="0"/>
          <w:marRight w:val="0"/>
          <w:marTop w:val="0"/>
          <w:marBottom w:val="0"/>
          <w:divBdr>
            <w:top w:val="none" w:sz="0" w:space="0" w:color="auto"/>
            <w:left w:val="none" w:sz="0" w:space="0" w:color="auto"/>
            <w:bottom w:val="none" w:sz="0" w:space="0" w:color="auto"/>
            <w:right w:val="none" w:sz="0" w:space="0" w:color="auto"/>
          </w:divBdr>
        </w:div>
        <w:div w:id="982778540">
          <w:marLeft w:val="0"/>
          <w:marRight w:val="0"/>
          <w:marTop w:val="0"/>
          <w:marBottom w:val="0"/>
          <w:divBdr>
            <w:top w:val="none" w:sz="0" w:space="0" w:color="auto"/>
            <w:left w:val="none" w:sz="0" w:space="0" w:color="auto"/>
            <w:bottom w:val="none" w:sz="0" w:space="0" w:color="auto"/>
            <w:right w:val="none" w:sz="0" w:space="0" w:color="auto"/>
          </w:divBdr>
        </w:div>
        <w:div w:id="131406243">
          <w:marLeft w:val="0"/>
          <w:marRight w:val="0"/>
          <w:marTop w:val="0"/>
          <w:marBottom w:val="0"/>
          <w:divBdr>
            <w:top w:val="none" w:sz="0" w:space="0" w:color="auto"/>
            <w:left w:val="none" w:sz="0" w:space="0" w:color="auto"/>
            <w:bottom w:val="none" w:sz="0" w:space="0" w:color="auto"/>
            <w:right w:val="none" w:sz="0" w:space="0" w:color="auto"/>
          </w:divBdr>
        </w:div>
      </w:divsChild>
    </w:div>
    <w:div w:id="15339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MIKHEL REYES</cp:lastModifiedBy>
  <cp:revision>3</cp:revision>
  <dcterms:created xsi:type="dcterms:W3CDTF">2010-03-15T09:11:00Z</dcterms:created>
  <dcterms:modified xsi:type="dcterms:W3CDTF">2010-04-22T09:11:00Z</dcterms:modified>
</cp:coreProperties>
</file>