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475"/>
        <w:gridCol w:w="2885"/>
      </w:tblGrid>
      <w:tr w:rsidR="00760500" w:rsidRPr="00760500" w:rsidTr="00760500">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325"/>
              <w:gridCol w:w="150"/>
            </w:tblGrid>
            <w:tr w:rsidR="00760500" w:rsidRPr="00760500">
              <w:trPr>
                <w:tblCellSpacing w:w="0" w:type="dxa"/>
              </w:trPr>
              <w:tc>
                <w:tcPr>
                  <w:tcW w:w="5000" w:type="pct"/>
                  <w:shd w:val="clear" w:color="auto" w:fill="FFFFFF"/>
                  <w:hideMark/>
                </w:tcPr>
                <w:p w:rsidR="00760500" w:rsidRPr="00760500" w:rsidRDefault="00760500" w:rsidP="00760500">
                  <w:pPr>
                    <w:spacing w:after="0" w:line="240" w:lineRule="auto"/>
                    <w:rPr>
                      <w:rFonts w:ascii="Verdana" w:eastAsia="Times New Roman" w:hAnsi="Verdana" w:cs="Times New Roman"/>
                      <w:color w:val="000000"/>
                      <w:sz w:val="18"/>
                      <w:szCs w:val="18"/>
                    </w:rPr>
                  </w:pPr>
                  <w:r w:rsidRPr="00760500">
                    <w:rPr>
                      <w:rFonts w:ascii="Verdana" w:eastAsia="Times New Roman" w:hAnsi="Verdana" w:cs="Arial"/>
                      <w:b/>
                      <w:bCs/>
                      <w:color w:val="000000"/>
                      <w:sz w:val="18"/>
                      <w:szCs w:val="18"/>
                    </w:rPr>
                    <w:t>Personal Experience Inventory (PEI)</w:t>
                  </w:r>
                  <w:r w:rsidRPr="00760500">
                    <w:rPr>
                      <w:rFonts w:ascii="Verdana" w:eastAsia="Times New Roman" w:hAnsi="Verdana" w:cs="Arial"/>
                      <w:b/>
                      <w:bCs/>
                      <w:color w:val="000000"/>
                      <w:sz w:val="18"/>
                      <w:szCs w:val="18"/>
                    </w:rPr>
                    <w:br/>
                    <w:t>A Measure of Substance Abuse in Adolescents</w:t>
                  </w:r>
                </w:p>
                <w:p w:rsidR="00760500" w:rsidRPr="00760500" w:rsidRDefault="00760500" w:rsidP="00760500">
                  <w:pPr>
                    <w:spacing w:after="0" w:line="240" w:lineRule="auto"/>
                    <w:rPr>
                      <w:rFonts w:ascii="Verdana" w:eastAsia="Times New Roman" w:hAnsi="Verdana" w:cs="Times New Roman"/>
                      <w:color w:val="000000"/>
                      <w:sz w:val="18"/>
                      <w:szCs w:val="18"/>
                    </w:rPr>
                  </w:pPr>
                  <w:r w:rsidRPr="00760500">
                    <w:rPr>
                      <w:rFonts w:ascii="Verdana" w:eastAsia="Times New Roman" w:hAnsi="Verdana" w:cs="Times New Roman"/>
                      <w:color w:val="000000"/>
                      <w:sz w:val="18"/>
                      <w:szCs w:val="18"/>
                    </w:rPr>
                    <w:t> </w:t>
                  </w:r>
                </w:p>
                <w:p w:rsidR="00760500" w:rsidRPr="00760500" w:rsidRDefault="00760500" w:rsidP="00760500">
                  <w:pPr>
                    <w:spacing w:after="0" w:line="240" w:lineRule="auto"/>
                    <w:rPr>
                      <w:rFonts w:ascii="Verdana" w:eastAsia="Times New Roman" w:hAnsi="Verdana" w:cs="Times New Roman"/>
                      <w:color w:val="000000"/>
                      <w:sz w:val="18"/>
                      <w:szCs w:val="18"/>
                    </w:rPr>
                  </w:pPr>
                  <w:r w:rsidRPr="00760500">
                    <w:rPr>
                      <w:rFonts w:ascii="Verdana" w:eastAsia="Times New Roman" w:hAnsi="Verdana" w:cs="Arial"/>
                      <w:color w:val="000000"/>
                      <w:sz w:val="18"/>
                      <w:szCs w:val="18"/>
                    </w:rPr>
                    <w:t>by Ken C. Winters, Ph.D. and George A. Henly, Ph.D.</w:t>
                  </w:r>
                </w:p>
              </w:tc>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60500" w:rsidRPr="00760500">
              <w:trPr>
                <w:tblCellSpacing w:w="0" w:type="dxa"/>
              </w:trPr>
              <w:tc>
                <w:tcPr>
                  <w:tcW w:w="5000" w:type="pct"/>
                  <w:gridSpan w:val="2"/>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760500" w:rsidRPr="00760500" w:rsidRDefault="00760500" w:rsidP="00760500">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885"/>
            </w:tblGrid>
            <w:tr w:rsidR="00760500" w:rsidRPr="00760500">
              <w:trPr>
                <w:tblCellSpacing w:w="0" w:type="dxa"/>
              </w:trPr>
              <w:tc>
                <w:tcPr>
                  <w:tcW w:w="0" w:type="auto"/>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p>
              </w:tc>
            </w:tr>
          </w:tbl>
          <w:p w:rsidR="00760500" w:rsidRPr="00760500" w:rsidRDefault="00760500" w:rsidP="00760500">
            <w:pPr>
              <w:spacing w:after="0" w:line="240" w:lineRule="auto"/>
              <w:rPr>
                <w:rFonts w:ascii="Verdana" w:eastAsia="Times New Roman" w:hAnsi="Verdana" w:cs="Times New Roman"/>
                <w:sz w:val="18"/>
                <w:szCs w:val="18"/>
              </w:rPr>
            </w:pPr>
          </w:p>
        </w:tc>
      </w:tr>
    </w:tbl>
    <w:p w:rsidR="00760500" w:rsidRPr="00760500" w:rsidRDefault="00760500" w:rsidP="00760500">
      <w:pPr>
        <w:spacing w:after="0" w:line="240" w:lineRule="auto"/>
        <w:rPr>
          <w:rFonts w:ascii="Verdana" w:eastAsia="Times New Roman" w:hAnsi="Verdana" w:cs="Times New Roman"/>
          <w:vanish/>
          <w:sz w:val="18"/>
          <w:szCs w:val="18"/>
          <w:lang/>
        </w:rPr>
      </w:pPr>
    </w:p>
    <w:tbl>
      <w:tblPr>
        <w:tblW w:w="5000" w:type="pct"/>
        <w:tblCellSpacing w:w="0" w:type="dxa"/>
        <w:tblCellMar>
          <w:left w:w="0" w:type="dxa"/>
          <w:right w:w="0" w:type="dxa"/>
        </w:tblCellMar>
        <w:tblLook w:val="04A0"/>
      </w:tblPr>
      <w:tblGrid>
        <w:gridCol w:w="3711"/>
        <w:gridCol w:w="5649"/>
      </w:tblGrid>
      <w:tr w:rsidR="00760500" w:rsidRPr="00760500" w:rsidTr="00760500">
        <w:trPr>
          <w:tblCellSpacing w:w="0" w:type="dxa"/>
        </w:trPr>
        <w:tc>
          <w:tcPr>
            <w:tcW w:w="6000" w:type="dxa"/>
            <w:hideMark/>
          </w:tcPr>
          <w:tbl>
            <w:tblPr>
              <w:tblW w:w="5000" w:type="pct"/>
              <w:tblCellSpacing w:w="0" w:type="dxa"/>
              <w:tblCellMar>
                <w:left w:w="0" w:type="dxa"/>
                <w:right w:w="0" w:type="dxa"/>
              </w:tblCellMar>
              <w:tblLook w:val="04A0"/>
            </w:tblPr>
            <w:tblGrid>
              <w:gridCol w:w="3711"/>
            </w:tblGrid>
            <w:tr w:rsidR="00760500" w:rsidRPr="00760500">
              <w:trPr>
                <w:tblCellSpacing w:w="0" w:type="dxa"/>
              </w:trPr>
              <w:tc>
                <w:tcPr>
                  <w:tcW w:w="0" w:type="auto"/>
                  <w:vAlign w:val="center"/>
                  <w:hideMark/>
                </w:tcPr>
                <w:p w:rsidR="00760500" w:rsidRPr="00760500" w:rsidRDefault="00760500" w:rsidP="00760500">
                  <w:pPr>
                    <w:spacing w:after="0" w:line="240" w:lineRule="auto"/>
                    <w:rPr>
                      <w:rFonts w:ascii="Verdana" w:eastAsia="Times New Roman" w:hAnsi="Verdana" w:cs="Times New Roman"/>
                      <w:sz w:val="18"/>
                      <w:szCs w:val="18"/>
                    </w:rPr>
                  </w:pPr>
                </w:p>
              </w:tc>
            </w:tr>
          </w:tbl>
          <w:p w:rsidR="00760500" w:rsidRPr="00760500" w:rsidRDefault="00760500" w:rsidP="00760500">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411"/>
              <w:gridCol w:w="150"/>
            </w:tblGrid>
            <w:tr w:rsidR="00760500" w:rsidRPr="00760500">
              <w:trPr>
                <w:tblCellSpacing w:w="0" w:type="dxa"/>
              </w:trPr>
              <w:tc>
                <w:tcPr>
                  <w:tcW w:w="5000" w:type="pct"/>
                  <w:gridSpan w:val="3"/>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760500" w:rsidRPr="00760500">
              <w:trPr>
                <w:tblCellSpacing w:w="0" w:type="dxa"/>
              </w:trPr>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1952625" cy="2305050"/>
                        <wp:effectExtent l="19050" t="0" r="9525" b="0"/>
                        <wp:docPr id="5" name="Picture 5" descr="http://portal.wpspublish.com/pls/portal/docs/1/34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pls/portal/docs/1/34869.JPG"/>
                                <pic:cNvPicPr>
                                  <a:picLocks noChangeAspect="1" noChangeArrowheads="1"/>
                                </pic:cNvPicPr>
                              </pic:nvPicPr>
                              <pic:blipFill>
                                <a:blip r:embed="rId5"/>
                                <a:srcRect/>
                                <a:stretch>
                                  <a:fillRect/>
                                </a:stretch>
                              </pic:blipFill>
                              <pic:spPr bwMode="auto">
                                <a:xfrm>
                                  <a:off x="0" y="0"/>
                                  <a:ext cx="1952625" cy="2305050"/>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60500" w:rsidRPr="00760500">
              <w:trPr>
                <w:tblCellSpacing w:w="0" w:type="dxa"/>
              </w:trPr>
              <w:tc>
                <w:tcPr>
                  <w:tcW w:w="5000" w:type="pct"/>
                  <w:gridSpan w:val="3"/>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760500" w:rsidRPr="00760500" w:rsidRDefault="00760500" w:rsidP="00760500">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3711"/>
            </w:tblGrid>
            <w:tr w:rsidR="00760500" w:rsidRPr="00760500">
              <w:trPr>
                <w:tblCellSpacing w:w="0" w:type="dxa"/>
              </w:trPr>
              <w:tc>
                <w:tcPr>
                  <w:tcW w:w="0" w:type="auto"/>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p>
              </w:tc>
            </w:tr>
          </w:tbl>
          <w:p w:rsidR="00760500" w:rsidRPr="00760500" w:rsidRDefault="00760500" w:rsidP="00760500">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711"/>
            </w:tblGrid>
            <w:tr w:rsidR="00760500" w:rsidRPr="00760500">
              <w:trPr>
                <w:tblCellSpacing w:w="0" w:type="dxa"/>
              </w:trPr>
              <w:tc>
                <w:tcPr>
                  <w:tcW w:w="0" w:type="auto"/>
                  <w:vAlign w:val="center"/>
                  <w:hideMark/>
                </w:tcPr>
                <w:p w:rsidR="00760500" w:rsidRPr="00760500" w:rsidRDefault="00760500" w:rsidP="00760500">
                  <w:pPr>
                    <w:spacing w:after="0" w:line="240" w:lineRule="auto"/>
                    <w:rPr>
                      <w:rFonts w:ascii="Verdana" w:eastAsia="Times New Roman" w:hAnsi="Verdana" w:cs="Times New Roman"/>
                      <w:sz w:val="18"/>
                      <w:szCs w:val="18"/>
                    </w:rPr>
                  </w:pPr>
                </w:p>
              </w:tc>
            </w:tr>
          </w:tbl>
          <w:p w:rsidR="00760500" w:rsidRPr="00760500" w:rsidRDefault="00760500" w:rsidP="00760500">
            <w:pPr>
              <w:spacing w:after="0" w:line="240" w:lineRule="auto"/>
              <w:rPr>
                <w:rFonts w:ascii="Verdana" w:eastAsia="Times New Roman" w:hAnsi="Verdana" w:cs="Times New Roman"/>
                <w:sz w:val="18"/>
                <w:szCs w:val="18"/>
              </w:rPr>
            </w:pPr>
          </w:p>
        </w:tc>
        <w:tc>
          <w:tcPr>
            <w:tcW w:w="12000" w:type="dxa"/>
            <w:hideMark/>
          </w:tcPr>
          <w:tbl>
            <w:tblPr>
              <w:tblW w:w="5000" w:type="pct"/>
              <w:tblCellSpacing w:w="0" w:type="dxa"/>
              <w:tblCellMar>
                <w:left w:w="0" w:type="dxa"/>
                <w:right w:w="0" w:type="dxa"/>
              </w:tblCellMar>
              <w:tblLook w:val="04A0"/>
            </w:tblPr>
            <w:tblGrid>
              <w:gridCol w:w="150"/>
              <w:gridCol w:w="5349"/>
              <w:gridCol w:w="150"/>
            </w:tblGrid>
            <w:tr w:rsidR="00760500" w:rsidRPr="00760500">
              <w:trPr>
                <w:tblCellSpacing w:w="0" w:type="dxa"/>
              </w:trPr>
              <w:tc>
                <w:tcPr>
                  <w:tcW w:w="5000" w:type="pct"/>
                  <w:gridSpan w:val="3"/>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760500" w:rsidRPr="00760500">
              <w:trPr>
                <w:tblCellSpacing w:w="0" w:type="dxa"/>
              </w:trPr>
              <w:tc>
                <w:tcPr>
                  <w:tcW w:w="150" w:type="dxa"/>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W w:w="4536" w:type="dxa"/>
                    <w:tblCellMar>
                      <w:left w:w="0" w:type="dxa"/>
                      <w:right w:w="0" w:type="dxa"/>
                    </w:tblCellMar>
                    <w:tblLook w:val="04A0"/>
                  </w:tblPr>
                  <w:tblGrid>
                    <w:gridCol w:w="1984"/>
                    <w:gridCol w:w="2552"/>
                  </w:tblGrid>
                  <w:tr w:rsidR="00760500" w:rsidRPr="00760500" w:rsidTr="00760500">
                    <w:trPr>
                      <w:trHeight w:val="374"/>
                    </w:trPr>
                    <w:tc>
                      <w:tcPr>
                        <w:tcW w:w="4536" w:type="dxa"/>
                        <w:gridSpan w:val="2"/>
                        <w:tcBorders>
                          <w:top w:val="nil"/>
                          <w:left w:val="nil"/>
                          <w:bottom w:val="single" w:sz="4" w:space="0" w:color="auto"/>
                          <w:right w:val="single" w:sz="4" w:space="0" w:color="auto"/>
                        </w:tcBorders>
                        <w:shd w:val="clear" w:color="auto" w:fill="636D6B"/>
                        <w:tcMar>
                          <w:top w:w="40" w:type="dxa"/>
                          <w:left w:w="40" w:type="dxa"/>
                          <w:bottom w:w="40" w:type="dxa"/>
                          <w:right w:w="40" w:type="dxa"/>
                        </w:tcMar>
                        <w:vAlign w:val="center"/>
                        <w:hideMark/>
                      </w:tcPr>
                      <w:p w:rsidR="00760500" w:rsidRPr="00760500" w:rsidRDefault="00760500" w:rsidP="00760500">
                        <w:pPr>
                          <w:spacing w:after="0" w:line="240" w:lineRule="auto"/>
                          <w:rPr>
                            <w:rFonts w:ascii="Verdana" w:eastAsia="Times New Roman" w:hAnsi="Verdana" w:cs="Arial"/>
                            <w:sz w:val="18"/>
                            <w:szCs w:val="18"/>
                          </w:rPr>
                        </w:pPr>
                        <w:r w:rsidRPr="00760500">
                          <w:rPr>
                            <w:rFonts w:ascii="Verdana" w:eastAsia="Times New Roman" w:hAnsi="Verdana" w:cs="Arial"/>
                            <w:color w:val="FFFFFF"/>
                            <w:sz w:val="18"/>
                            <w:szCs w:val="18"/>
                          </w:rPr>
                          <w:t> </w:t>
                        </w:r>
                        <w:r w:rsidRPr="00760500">
                          <w:rPr>
                            <w:rFonts w:ascii="Verdana" w:eastAsia="Times New Roman" w:hAnsi="Verdana" w:cs="Arial"/>
                            <w:b/>
                            <w:bCs/>
                            <w:color w:val="FFFFFF"/>
                            <w:sz w:val="18"/>
                            <w:szCs w:val="18"/>
                          </w:rPr>
                          <w:t>At a Glance</w:t>
                        </w:r>
                      </w:p>
                    </w:tc>
                  </w:tr>
                  <w:tr w:rsidR="00760500" w:rsidRPr="00760500" w:rsidTr="00760500">
                    <w:tc>
                      <w:tcPr>
                        <w:tcW w:w="1984" w:type="dxa"/>
                        <w:tcMar>
                          <w:top w:w="40" w:type="dxa"/>
                          <w:left w:w="40" w:type="dxa"/>
                          <w:bottom w:w="40" w:type="dxa"/>
                          <w:right w:w="40" w:type="dxa"/>
                        </w:tcMar>
                        <w:hideMark/>
                      </w:tcPr>
                      <w:p w:rsidR="00760500" w:rsidRPr="00760500" w:rsidRDefault="00760500" w:rsidP="00760500">
                        <w:pPr>
                          <w:spacing w:after="0" w:line="240" w:lineRule="auto"/>
                          <w:jc w:val="right"/>
                          <w:rPr>
                            <w:rFonts w:ascii="Verdana" w:eastAsia="Times New Roman" w:hAnsi="Verdana" w:cs="Times New Roman"/>
                            <w:sz w:val="18"/>
                            <w:szCs w:val="18"/>
                          </w:rPr>
                        </w:pPr>
                        <w:r w:rsidRPr="00760500">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Assesses all forms of substance abuse plus related psychosocial problems and personal risk factors</w:t>
                        </w:r>
                      </w:p>
                    </w:tc>
                  </w:tr>
                  <w:tr w:rsidR="00760500" w:rsidRPr="00760500" w:rsidTr="00760500">
                    <w:tc>
                      <w:tcPr>
                        <w:tcW w:w="1984" w:type="dxa"/>
                        <w:tcMar>
                          <w:top w:w="40" w:type="dxa"/>
                          <w:left w:w="40" w:type="dxa"/>
                          <w:bottom w:w="40" w:type="dxa"/>
                          <w:right w:w="40" w:type="dxa"/>
                        </w:tcMar>
                        <w:hideMark/>
                      </w:tcPr>
                      <w:p w:rsidR="00760500" w:rsidRPr="00760500" w:rsidRDefault="00760500" w:rsidP="00760500">
                        <w:pPr>
                          <w:spacing w:after="0" w:line="240" w:lineRule="auto"/>
                          <w:jc w:val="right"/>
                          <w:rPr>
                            <w:rFonts w:ascii="Verdana" w:eastAsia="Times New Roman" w:hAnsi="Verdana" w:cs="Times New Roman"/>
                            <w:sz w:val="18"/>
                            <w:szCs w:val="18"/>
                          </w:rPr>
                        </w:pPr>
                        <w:r w:rsidRPr="00760500">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12 to 18 years</w:t>
                        </w:r>
                      </w:p>
                    </w:tc>
                  </w:tr>
                  <w:tr w:rsidR="00760500" w:rsidRPr="00760500" w:rsidTr="00760500">
                    <w:tc>
                      <w:tcPr>
                        <w:tcW w:w="1984" w:type="dxa"/>
                        <w:tcMar>
                          <w:top w:w="40" w:type="dxa"/>
                          <w:left w:w="40" w:type="dxa"/>
                          <w:bottom w:w="40" w:type="dxa"/>
                          <w:right w:w="40" w:type="dxa"/>
                        </w:tcMar>
                        <w:hideMark/>
                      </w:tcPr>
                      <w:p w:rsidR="00760500" w:rsidRPr="00760500" w:rsidRDefault="00760500" w:rsidP="00760500">
                        <w:pPr>
                          <w:spacing w:after="0" w:line="240" w:lineRule="auto"/>
                          <w:jc w:val="right"/>
                          <w:rPr>
                            <w:rFonts w:ascii="Verdana" w:eastAsia="Times New Roman" w:hAnsi="Verdana" w:cs="Arial"/>
                            <w:b/>
                            <w:bCs/>
                            <w:sz w:val="18"/>
                            <w:szCs w:val="18"/>
                          </w:rPr>
                        </w:pPr>
                        <w:r w:rsidRPr="00760500">
                          <w:rPr>
                            <w:rFonts w:ascii="Verdana" w:eastAsia="Times New Roman" w:hAnsi="Verdana" w:cs="Arial"/>
                            <w:b/>
                            <w:bCs/>
                            <w:sz w:val="18"/>
                            <w:szCs w:val="18"/>
                          </w:rPr>
                          <w:t>Administration Time</w:t>
                        </w:r>
                      </w:p>
                    </w:tc>
                    <w:tc>
                      <w:tcPr>
                        <w:tcW w:w="2552" w:type="dxa"/>
                        <w:tcMar>
                          <w:top w:w="40" w:type="dxa"/>
                          <w:left w:w="40" w:type="dxa"/>
                          <w:bottom w:w="40" w:type="dxa"/>
                          <w:right w:w="40" w:type="dxa"/>
                        </w:tcMar>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45 minutes</w:t>
                        </w:r>
                      </w:p>
                    </w:tc>
                  </w:tr>
                  <w:tr w:rsidR="00760500" w:rsidRPr="00760500" w:rsidTr="00760500">
                    <w:tc>
                      <w:tcPr>
                        <w:tcW w:w="1984" w:type="dxa"/>
                        <w:tcMar>
                          <w:top w:w="40" w:type="dxa"/>
                          <w:left w:w="40" w:type="dxa"/>
                          <w:bottom w:w="40" w:type="dxa"/>
                          <w:right w:w="40" w:type="dxa"/>
                        </w:tcMar>
                        <w:hideMark/>
                      </w:tcPr>
                      <w:p w:rsidR="00760500" w:rsidRPr="00760500" w:rsidRDefault="00760500" w:rsidP="00760500">
                        <w:pPr>
                          <w:spacing w:after="0" w:line="240" w:lineRule="auto"/>
                          <w:jc w:val="right"/>
                          <w:rPr>
                            <w:rFonts w:ascii="Verdana" w:eastAsia="Times New Roman" w:hAnsi="Verdana" w:cs="Times New Roman"/>
                            <w:sz w:val="18"/>
                            <w:szCs w:val="18"/>
                          </w:rPr>
                        </w:pPr>
                        <w:r w:rsidRPr="00760500">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Self-report</w:t>
                        </w:r>
                      </w:p>
                    </w:tc>
                  </w:tr>
                  <w:tr w:rsidR="00760500" w:rsidRPr="00760500" w:rsidTr="00760500">
                    <w:tc>
                      <w:tcPr>
                        <w:tcW w:w="1984" w:type="dxa"/>
                        <w:tcMar>
                          <w:top w:w="40" w:type="dxa"/>
                          <w:left w:w="40" w:type="dxa"/>
                          <w:bottom w:w="40" w:type="dxa"/>
                          <w:right w:w="40" w:type="dxa"/>
                        </w:tcMar>
                        <w:hideMark/>
                      </w:tcPr>
                      <w:p w:rsidR="00760500" w:rsidRPr="00760500" w:rsidRDefault="00760500" w:rsidP="00760500">
                        <w:pPr>
                          <w:spacing w:after="0" w:line="240" w:lineRule="auto"/>
                          <w:jc w:val="right"/>
                          <w:rPr>
                            <w:rFonts w:ascii="Verdana" w:eastAsia="Times New Roman" w:hAnsi="Verdana" w:cs="Arial"/>
                            <w:b/>
                            <w:bCs/>
                            <w:sz w:val="18"/>
                            <w:szCs w:val="18"/>
                          </w:rPr>
                        </w:pPr>
                        <w:r w:rsidRPr="00760500">
                          <w:rPr>
                            <w:rFonts w:ascii="Verdana" w:eastAsia="Times New Roman" w:hAnsi="Verdana" w:cs="Arial"/>
                            <w:b/>
                            <w:bCs/>
                            <w:sz w:val="18"/>
                            <w:szCs w:val="18"/>
                          </w:rPr>
                          <w:t>Norms</w:t>
                        </w:r>
                      </w:p>
                    </w:tc>
                    <w:tc>
                      <w:tcPr>
                        <w:tcW w:w="2552" w:type="dxa"/>
                        <w:tcMar>
                          <w:top w:w="40" w:type="dxa"/>
                          <w:left w:w="40" w:type="dxa"/>
                          <w:bottom w:w="40" w:type="dxa"/>
                          <w:right w:w="40" w:type="dxa"/>
                        </w:tcMar>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Provided for both a drug clinic population and a regular high school sample, together totaling nearly 2,000 adolescents</w:t>
                        </w:r>
                      </w:p>
                    </w:tc>
                  </w:tr>
                </w:tbl>
                <w:p w:rsidR="00760500" w:rsidRPr="00760500" w:rsidRDefault="00760500" w:rsidP="00760500">
                  <w:pPr>
                    <w:spacing w:after="0" w:line="240" w:lineRule="auto"/>
                    <w:rPr>
                      <w:rFonts w:ascii="Verdana" w:eastAsia="Times New Roman" w:hAnsi="Verdana" w:cs="Arial"/>
                      <w:color w:val="000000"/>
                      <w:sz w:val="18"/>
                      <w:szCs w:val="18"/>
                    </w:rPr>
                  </w:pPr>
                  <w:r w:rsidRPr="00760500">
                    <w:rPr>
                      <w:rFonts w:ascii="Verdana" w:eastAsia="Times New Roman" w:hAnsi="Verdana" w:cs="Arial"/>
                      <w:color w:val="000000"/>
                      <w:sz w:val="18"/>
                      <w:szCs w:val="18"/>
                    </w:rPr>
                    <w:t> </w:t>
                  </w:r>
                </w:p>
              </w:tc>
              <w:tc>
                <w:tcPr>
                  <w:tcW w:w="150" w:type="dxa"/>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60500" w:rsidRPr="00760500">
              <w:trPr>
                <w:tblCellSpacing w:w="0" w:type="dxa"/>
              </w:trPr>
              <w:tc>
                <w:tcPr>
                  <w:tcW w:w="5000" w:type="pct"/>
                  <w:gridSpan w:val="3"/>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0"/>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760500" w:rsidRPr="00760500" w:rsidRDefault="00760500" w:rsidP="00760500">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5349"/>
              <w:gridCol w:w="150"/>
            </w:tblGrid>
            <w:tr w:rsidR="00760500" w:rsidRPr="00760500">
              <w:trPr>
                <w:tblCellSpacing w:w="0" w:type="dxa"/>
              </w:trPr>
              <w:tc>
                <w:tcPr>
                  <w:tcW w:w="5000" w:type="pct"/>
                  <w:gridSpan w:val="3"/>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0"/>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760500" w:rsidRPr="00760500">
              <w:trPr>
                <w:tblCellSpacing w:w="0" w:type="dxa"/>
              </w:trPr>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60500" w:rsidRPr="00760500" w:rsidRDefault="00760500" w:rsidP="00760500">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760500" w:rsidRPr="00760500">
                    <w:tc>
                      <w:tcPr>
                        <w:tcW w:w="0" w:type="auto"/>
                        <w:tcBorders>
                          <w:top w:val="nil"/>
                          <w:left w:val="nil"/>
                          <w:bottom w:val="nil"/>
                          <w:right w:val="nil"/>
                        </w:tcBorders>
                        <w:shd w:val="clear" w:color="auto" w:fill="C6CF9C"/>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b/>
                            <w:bCs/>
                            <w:color w:val="FFFFFF"/>
                            <w:sz w:val="18"/>
                            <w:szCs w:val="18"/>
                          </w:rPr>
                          <w:t xml:space="preserve">  </w:t>
                        </w:r>
                        <w:r w:rsidRPr="00760500">
                          <w:rPr>
                            <w:rFonts w:ascii="Verdana" w:eastAsia="Times New Roman" w:hAnsi="Verdana" w:cs="Times New Roman"/>
                            <w:b/>
                            <w:bCs/>
                            <w:color w:val="636D6B"/>
                            <w:sz w:val="18"/>
                            <w:szCs w:val="18"/>
                          </w:rPr>
                          <w:t>Related Products</w:t>
                        </w:r>
                      </w:p>
                    </w:tc>
                  </w:tr>
                </w:tbl>
                <w:p w:rsidR="00760500" w:rsidRPr="00760500" w:rsidRDefault="00760500" w:rsidP="00760500">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60500" w:rsidRPr="00760500">
              <w:trPr>
                <w:tblCellSpacing w:w="0" w:type="dxa"/>
              </w:trPr>
              <w:tc>
                <w:tcPr>
                  <w:tcW w:w="5000" w:type="pct"/>
                  <w:gridSpan w:val="3"/>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47625" cy="476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60500" w:rsidRPr="00760500">
              <w:trPr>
                <w:tblCellSpacing w:w="0" w:type="dxa"/>
              </w:trPr>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60500" w:rsidRPr="00760500" w:rsidRDefault="00760500" w:rsidP="00760500">
                  <w:pPr>
                    <w:spacing w:after="0" w:line="240" w:lineRule="auto"/>
                    <w:rPr>
                      <w:rFonts w:ascii="Verdana" w:eastAsia="Times New Roman" w:hAnsi="Verdana" w:cs="Times New Roman"/>
                      <w:sz w:val="18"/>
                      <w:szCs w:val="18"/>
                    </w:rPr>
                  </w:pPr>
                  <w:hyperlink r:id="rId6" w:history="1">
                    <w:r w:rsidRPr="00760500">
                      <w:rPr>
                        <w:rFonts w:ascii="Verdana" w:eastAsia="Times New Roman" w:hAnsi="Verdana" w:cs="Arial"/>
                        <w:color w:val="003063"/>
                        <w:sz w:val="18"/>
                        <w:szCs w:val="18"/>
                        <w:u w:val="single"/>
                      </w:rPr>
                      <w:t>Personal Experience Screening Questionnaire (PESQ)</w:t>
                    </w:r>
                  </w:hyperlink>
                </w:p>
              </w:tc>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60500" w:rsidRPr="00760500">
              <w:trPr>
                <w:tblCellSpacing w:w="0" w:type="dxa"/>
              </w:trPr>
              <w:tc>
                <w:tcPr>
                  <w:tcW w:w="5000" w:type="pct"/>
                  <w:gridSpan w:val="3"/>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47625" cy="476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60500" w:rsidRPr="00760500">
              <w:trPr>
                <w:tblCellSpacing w:w="0" w:type="dxa"/>
              </w:trPr>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60500" w:rsidRPr="00760500" w:rsidRDefault="00760500" w:rsidP="00760500">
                  <w:pPr>
                    <w:spacing w:after="0" w:line="240" w:lineRule="auto"/>
                    <w:rPr>
                      <w:rFonts w:ascii="Verdana" w:eastAsia="Times New Roman" w:hAnsi="Verdana" w:cs="Times New Roman"/>
                      <w:sz w:val="18"/>
                      <w:szCs w:val="18"/>
                    </w:rPr>
                  </w:pPr>
                  <w:hyperlink r:id="rId7" w:history="1">
                    <w:r w:rsidRPr="00760500">
                      <w:rPr>
                        <w:rFonts w:ascii="Verdana" w:eastAsia="Times New Roman" w:hAnsi="Verdana" w:cs="Arial"/>
                        <w:color w:val="003063"/>
                        <w:sz w:val="18"/>
                        <w:szCs w:val="18"/>
                        <w:u w:val="single"/>
                      </w:rPr>
                      <w:t>Personal Experience Inventory for Adults (PEI-A)</w:t>
                    </w:r>
                  </w:hyperlink>
                </w:p>
              </w:tc>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60500" w:rsidRPr="00760500">
              <w:trPr>
                <w:tblCellSpacing w:w="0" w:type="dxa"/>
              </w:trPr>
              <w:tc>
                <w:tcPr>
                  <w:tcW w:w="5000" w:type="pct"/>
                  <w:gridSpan w:val="3"/>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47625" cy="47625"/>
                        <wp:effectExtent l="0" t="0" r="0" b="0"/>
                        <wp:docPr id="21"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60500" w:rsidRPr="00760500">
              <w:trPr>
                <w:tblCellSpacing w:w="0" w:type="dxa"/>
              </w:trPr>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22" name="Picture 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60500" w:rsidRPr="00760500" w:rsidRDefault="00760500" w:rsidP="00760500">
                  <w:pPr>
                    <w:spacing w:after="0" w:line="240" w:lineRule="auto"/>
                    <w:rPr>
                      <w:rFonts w:ascii="Verdana" w:eastAsia="Times New Roman" w:hAnsi="Verdana" w:cs="Times New Roman"/>
                      <w:sz w:val="18"/>
                      <w:szCs w:val="18"/>
                    </w:rPr>
                  </w:pPr>
                  <w:hyperlink r:id="rId8" w:history="1">
                    <w:r w:rsidRPr="00760500">
                      <w:rPr>
                        <w:rFonts w:ascii="Verdana" w:eastAsia="Times New Roman" w:hAnsi="Verdana" w:cs="Arial"/>
                        <w:color w:val="003063"/>
                        <w:sz w:val="18"/>
                        <w:szCs w:val="18"/>
                        <w:u w:val="single"/>
                      </w:rPr>
                      <w:t>Assessment of Adolescent Alcohol and Drug Abuse: A Handbook</w:t>
                    </w:r>
                  </w:hyperlink>
                </w:p>
              </w:tc>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2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760500" w:rsidRPr="00760500">
              <w:trPr>
                <w:tblCellSpacing w:w="0" w:type="dxa"/>
              </w:trPr>
              <w:tc>
                <w:tcPr>
                  <w:tcW w:w="5000" w:type="pct"/>
                  <w:gridSpan w:val="3"/>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47625" cy="47625"/>
                        <wp:effectExtent l="0" t="0" r="0" b="0"/>
                        <wp:docPr id="24" name="Picture 2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760500" w:rsidRPr="00760500">
              <w:trPr>
                <w:tblCellSpacing w:w="0" w:type="dxa"/>
              </w:trPr>
              <w:tc>
                <w:tcPr>
                  <w:tcW w:w="150" w:type="dxa"/>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noProof/>
                      <w:sz w:val="18"/>
                      <w:szCs w:val="18"/>
                    </w:rPr>
                    <w:drawing>
                      <wp:inline distT="0" distB="0" distL="0" distR="0">
                        <wp:extent cx="95250" cy="9525"/>
                        <wp:effectExtent l="0" t="0" r="0" b="0"/>
                        <wp:docPr id="25" name="Picture 2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760500" w:rsidRPr="00760500" w:rsidRDefault="00760500" w:rsidP="00760500">
                  <w:pPr>
                    <w:spacing w:after="0" w:line="240" w:lineRule="auto"/>
                    <w:rPr>
                      <w:rFonts w:ascii="Verdana" w:eastAsia="Times New Roman" w:hAnsi="Verdana" w:cs="Times New Roman"/>
                      <w:sz w:val="18"/>
                      <w:szCs w:val="18"/>
                    </w:rPr>
                  </w:pPr>
                  <w:hyperlink r:id="rId9" w:history="1">
                    <w:r w:rsidRPr="00760500">
                      <w:rPr>
                        <w:rFonts w:ascii="Verdana" w:eastAsia="Times New Roman" w:hAnsi="Verdana" w:cs="Arial"/>
                        <w:color w:val="003063"/>
                        <w:sz w:val="18"/>
                        <w:szCs w:val="18"/>
                        <w:u w:val="single"/>
                      </w:rPr>
                      <w:t>Cigarette Use Questionnaire (CUQ)</w:t>
                    </w:r>
                  </w:hyperlink>
                </w:p>
              </w:tc>
              <w:tc>
                <w:tcPr>
                  <w:tcW w:w="0" w:type="auto"/>
                  <w:shd w:val="clear" w:color="auto" w:fill="FFFFFF"/>
                  <w:vAlign w:val="center"/>
                  <w:hideMark/>
                </w:tcPr>
                <w:p w:rsidR="00760500" w:rsidRPr="00760500" w:rsidRDefault="00760500" w:rsidP="00760500">
                  <w:pPr>
                    <w:spacing w:after="0" w:line="240" w:lineRule="auto"/>
                    <w:rPr>
                      <w:rFonts w:ascii="Verdana" w:eastAsia="Times New Roman" w:hAnsi="Verdana" w:cs="Times New Roman"/>
                      <w:sz w:val="18"/>
                      <w:szCs w:val="18"/>
                    </w:rPr>
                  </w:pPr>
                </w:p>
              </w:tc>
            </w:tr>
          </w:tbl>
          <w:p w:rsidR="00760500" w:rsidRPr="00760500" w:rsidRDefault="00760500" w:rsidP="00760500">
            <w:pPr>
              <w:spacing w:after="0" w:line="240" w:lineRule="auto"/>
              <w:rPr>
                <w:rFonts w:ascii="Verdana" w:eastAsia="Times New Roman" w:hAnsi="Verdana" w:cs="Times New Roman"/>
                <w:sz w:val="18"/>
                <w:szCs w:val="18"/>
              </w:rPr>
            </w:pPr>
          </w:p>
        </w:tc>
      </w:tr>
    </w:tbl>
    <w:p w:rsidR="007E4C69" w:rsidRPr="00760500" w:rsidRDefault="007E4C69" w:rsidP="00760500">
      <w:pPr>
        <w:spacing w:after="0"/>
        <w:rPr>
          <w:rFonts w:ascii="Verdana" w:hAnsi="Verdana"/>
          <w:sz w:val="18"/>
          <w:szCs w:val="18"/>
        </w:rPr>
      </w:pPr>
    </w:p>
    <w:p w:rsidR="00760500" w:rsidRPr="00760500" w:rsidRDefault="00760500" w:rsidP="00760500">
      <w:pPr>
        <w:spacing w:after="0"/>
        <w:rPr>
          <w:rFonts w:ascii="Verdana" w:hAnsi="Verdana"/>
          <w:sz w:val="18"/>
          <w:szCs w:val="18"/>
        </w:rPr>
      </w:pPr>
      <w:r w:rsidRPr="00760500">
        <w:rPr>
          <w:rFonts w:ascii="Verdana" w:hAnsi="Verdana"/>
          <w:sz w:val="18"/>
          <w:szCs w:val="18"/>
        </w:rPr>
        <w:t>The PEI helps you identify, refer, and treat teenagers with drug and alcohol problems. It is particularly useful because it covers all forms of substance abuse, assesses both chemical involvement and related psychosocial problems, and documents the need for treatment.</w:t>
      </w:r>
    </w:p>
    <w:p w:rsidR="00760500" w:rsidRPr="00760500" w:rsidRDefault="00760500" w:rsidP="00760500">
      <w:pPr>
        <w:spacing w:after="0"/>
        <w:rPr>
          <w:rFonts w:ascii="Verdana" w:hAnsi="Verdana"/>
          <w:sz w:val="18"/>
          <w:szCs w:val="18"/>
        </w:rPr>
      </w:pPr>
      <w:r w:rsidRPr="00760500">
        <w:rPr>
          <w:rFonts w:ascii="Verdana" w:hAnsi="Verdana"/>
          <w:sz w:val="18"/>
          <w:szCs w:val="18"/>
        </w:rPr>
        <w:t xml:space="preserve">This convenient self-report inventory, used with more than 100,000 adolescents in facilities throughout the country, documents chemical involvement in 12- to 18-year-olds and identifies personal risk factors that may precipitate or sustain substance abuse. </w:t>
      </w:r>
    </w:p>
    <w:tbl>
      <w:tblPr>
        <w:tblW w:w="8775" w:type="dxa"/>
        <w:jc w:val="center"/>
        <w:tblCellSpacing w:w="0" w:type="dxa"/>
        <w:tblCellMar>
          <w:left w:w="0" w:type="dxa"/>
          <w:right w:w="0" w:type="dxa"/>
        </w:tblCellMar>
        <w:tblLook w:val="04A0"/>
      </w:tblPr>
      <w:tblGrid>
        <w:gridCol w:w="421"/>
        <w:gridCol w:w="3422"/>
        <w:gridCol w:w="447"/>
        <w:gridCol w:w="4485"/>
      </w:tblGrid>
      <w:tr w:rsidR="00760500" w:rsidRPr="00760500">
        <w:trPr>
          <w:tblCellSpacing w:w="0" w:type="dxa"/>
          <w:jc w:val="center"/>
        </w:trPr>
        <w:tc>
          <w:tcPr>
            <w:tcW w:w="0" w:type="auto"/>
            <w:gridSpan w:val="2"/>
            <w:hideMark/>
          </w:tcPr>
          <w:p w:rsidR="00760500" w:rsidRDefault="00760500" w:rsidP="00760500">
            <w:pPr>
              <w:spacing w:after="0" w:line="240" w:lineRule="auto"/>
              <w:rPr>
                <w:rFonts w:ascii="Verdana" w:eastAsia="Times New Roman" w:hAnsi="Verdana" w:cs="Arial"/>
                <w:b/>
                <w:bCs/>
                <w:sz w:val="18"/>
                <w:szCs w:val="18"/>
              </w:rPr>
            </w:pPr>
          </w:p>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b/>
                <w:bCs/>
                <w:sz w:val="18"/>
                <w:szCs w:val="18"/>
              </w:rPr>
              <w:t>Problem Severity Scales</w:t>
            </w:r>
          </w:p>
        </w:tc>
        <w:tc>
          <w:tcPr>
            <w:tcW w:w="0" w:type="auto"/>
            <w:gridSpan w:val="2"/>
            <w:hideMark/>
          </w:tcPr>
          <w:p w:rsidR="00760500" w:rsidRDefault="00760500" w:rsidP="00760500">
            <w:pPr>
              <w:spacing w:after="0" w:line="240" w:lineRule="auto"/>
              <w:rPr>
                <w:rFonts w:ascii="Verdana" w:eastAsia="Times New Roman" w:hAnsi="Verdana" w:cs="Arial"/>
                <w:b/>
                <w:bCs/>
                <w:sz w:val="18"/>
                <w:szCs w:val="18"/>
              </w:rPr>
            </w:pPr>
          </w:p>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b/>
                <w:bCs/>
                <w:sz w:val="18"/>
                <w:szCs w:val="18"/>
              </w:rPr>
              <w:t>Drug Use, Frequency, Duration, and Age of Onset</w:t>
            </w:r>
          </w:p>
        </w:tc>
      </w:tr>
      <w:tr w:rsidR="00760500" w:rsidRPr="00760500" w:rsidTr="00760500">
        <w:trPr>
          <w:tblCellSpacing w:w="0" w:type="dxa"/>
          <w:jc w:val="center"/>
        </w:trPr>
        <w:tc>
          <w:tcPr>
            <w:tcW w:w="425"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3446"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Personal Involvement With Chemicals</w:t>
            </w:r>
          </w:p>
        </w:tc>
        <w:tc>
          <w:tcPr>
            <w:tcW w:w="446"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4458"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Alcohol</w:t>
            </w:r>
          </w:p>
        </w:tc>
      </w:tr>
      <w:tr w:rsidR="00760500" w:rsidRPr="00760500" w:rsidT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Effects From Drug Use</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4458"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Amphetamines</w:t>
            </w:r>
          </w:p>
        </w:tc>
      </w:tr>
      <w:tr w:rsidR="00760500" w:rsidRPr="00760500" w:rsidT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Social Benefits of Drug Use</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4458"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Marijuana or Hashish</w:t>
            </w:r>
          </w:p>
        </w:tc>
      </w:tr>
      <w:tr w:rsidR="00760500" w:rsidRPr="00760500" w:rsidT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Personal Consequences of Drug Use</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4458"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 xml:space="preserve">Quaaludes </w:t>
            </w:r>
          </w:p>
        </w:tc>
      </w:tr>
      <w:tr w:rsidR="00760500" w:rsidRPr="00760500" w:rsidT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proofErr w:type="spellStart"/>
            <w:r w:rsidRPr="00760500">
              <w:rPr>
                <w:rFonts w:ascii="Verdana" w:eastAsia="Times New Roman" w:hAnsi="Verdana" w:cs="Arial"/>
                <w:sz w:val="18"/>
                <w:szCs w:val="18"/>
              </w:rPr>
              <w:t>Polydrug</w:t>
            </w:r>
            <w:proofErr w:type="spellEnd"/>
            <w:r w:rsidRPr="00760500">
              <w:rPr>
                <w:rFonts w:ascii="Verdana" w:eastAsia="Times New Roman" w:hAnsi="Verdana" w:cs="Arial"/>
                <w:sz w:val="18"/>
                <w:szCs w:val="18"/>
              </w:rPr>
              <w:t xml:space="preserve"> Use</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4458" w:type="dxa"/>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Barbiturates</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proofErr w:type="spellStart"/>
            <w:r w:rsidRPr="00760500">
              <w:rPr>
                <w:rFonts w:ascii="Verdana" w:eastAsia="Times New Roman" w:hAnsi="Verdana" w:cs="Arial"/>
                <w:sz w:val="18"/>
                <w:szCs w:val="18"/>
              </w:rPr>
              <w:t>Transituational</w:t>
            </w:r>
            <w:proofErr w:type="spellEnd"/>
            <w:r w:rsidRPr="00760500">
              <w:rPr>
                <w:rFonts w:ascii="Verdana" w:eastAsia="Times New Roman" w:hAnsi="Verdana" w:cs="Arial"/>
                <w:sz w:val="18"/>
                <w:szCs w:val="18"/>
              </w:rPr>
              <w:t xml:space="preserve"> Drug Use</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 xml:space="preserve">LSD </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Psychological Benefits of Drug Use</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Other Psychedelics</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Social-Recreational Drug Use</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Tranquilizers</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Preoccupation With Drugs</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Cocaine/Crack</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Loss of Control</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Inhalants</w:t>
            </w:r>
          </w:p>
        </w:tc>
      </w:tr>
      <w:tr w:rsidR="00760500" w:rsidRPr="00760500">
        <w:trPr>
          <w:tblCellSpacing w:w="0" w:type="dxa"/>
          <w:jc w:val="center"/>
        </w:trPr>
        <w:tc>
          <w:tcPr>
            <w:tcW w:w="0" w:type="auto"/>
            <w:gridSpan w:val="2"/>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Heroin</w:t>
            </w:r>
          </w:p>
        </w:tc>
      </w:tr>
      <w:tr w:rsidR="00760500" w:rsidRPr="00760500">
        <w:trPr>
          <w:tblCellSpacing w:w="0" w:type="dxa"/>
          <w:jc w:val="center"/>
        </w:trPr>
        <w:tc>
          <w:tcPr>
            <w:tcW w:w="0" w:type="auto"/>
            <w:gridSpan w:val="2"/>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b/>
                <w:bCs/>
                <w:sz w:val="18"/>
                <w:szCs w:val="18"/>
              </w:rPr>
              <w:t>Psychosocial Scales</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Other Opiates</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Negative Self-Image</w:t>
            </w:r>
          </w:p>
        </w:tc>
        <w:tc>
          <w:tcPr>
            <w:tcW w:w="0" w:type="auto"/>
            <w:gridSpan w:val="2"/>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Psychological Disturbance</w:t>
            </w:r>
          </w:p>
        </w:tc>
        <w:tc>
          <w:tcPr>
            <w:tcW w:w="0" w:type="auto"/>
            <w:gridSpan w:val="2"/>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b/>
                <w:bCs/>
                <w:sz w:val="18"/>
                <w:szCs w:val="18"/>
              </w:rPr>
              <w:t>Problem Screens</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lastRenderedPageBreak/>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Social Isolation</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Family Chemical Dependency</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Uncontrolled</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Sexual Abuse</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Rejecting Convention</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Physical Abuse</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Deviant Behavior</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Eating Disorder</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Absence of Goals</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Suicide Potential</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Spiritual Isolation</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Psychiatric Referral</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Peer Chemical Involvement</w:t>
            </w:r>
          </w:p>
        </w:tc>
        <w:tc>
          <w:tcPr>
            <w:tcW w:w="0" w:type="auto"/>
            <w:gridSpan w:val="2"/>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Sibling Chemical Use</w:t>
            </w:r>
          </w:p>
        </w:tc>
        <w:tc>
          <w:tcPr>
            <w:tcW w:w="0" w:type="auto"/>
            <w:gridSpan w:val="2"/>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Sibling Chemical Use</w:t>
            </w:r>
          </w:p>
        </w:tc>
        <w:tc>
          <w:tcPr>
            <w:tcW w:w="0" w:type="auto"/>
            <w:gridSpan w:val="2"/>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Family Pathology</w:t>
            </w:r>
          </w:p>
        </w:tc>
        <w:tc>
          <w:tcPr>
            <w:tcW w:w="0" w:type="auto"/>
            <w:gridSpan w:val="2"/>
            <w:vMerge w:val="restart"/>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r>
      <w:tr w:rsidR="00760500" w:rsidRPr="00760500">
        <w:trPr>
          <w:tblCellSpacing w:w="0" w:type="dxa"/>
          <w:jc w:val="center"/>
        </w:trPr>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Times New Roman"/>
                <w:sz w:val="18"/>
                <w:szCs w:val="18"/>
              </w:rPr>
              <w:t> </w:t>
            </w:r>
          </w:p>
        </w:tc>
        <w:tc>
          <w:tcPr>
            <w:tcW w:w="0" w:type="auto"/>
            <w:hideMark/>
          </w:tcPr>
          <w:p w:rsidR="00760500" w:rsidRPr="00760500" w:rsidRDefault="00760500" w:rsidP="00760500">
            <w:pPr>
              <w:spacing w:after="0" w:line="240" w:lineRule="auto"/>
              <w:rPr>
                <w:rFonts w:ascii="Verdana" w:eastAsia="Times New Roman" w:hAnsi="Verdana" w:cs="Times New Roman"/>
                <w:sz w:val="18"/>
                <w:szCs w:val="18"/>
              </w:rPr>
            </w:pPr>
            <w:r w:rsidRPr="00760500">
              <w:rPr>
                <w:rFonts w:ascii="Verdana" w:eastAsia="Times New Roman" w:hAnsi="Verdana" w:cs="Arial"/>
                <w:sz w:val="18"/>
                <w:szCs w:val="18"/>
              </w:rPr>
              <w:t>Family Estrangement</w:t>
            </w:r>
          </w:p>
        </w:tc>
        <w:tc>
          <w:tcPr>
            <w:tcW w:w="0" w:type="auto"/>
            <w:gridSpan w:val="2"/>
            <w:vMerge/>
            <w:vAlign w:val="center"/>
            <w:hideMark/>
          </w:tcPr>
          <w:p w:rsidR="00760500" w:rsidRPr="00760500" w:rsidRDefault="00760500" w:rsidP="00760500">
            <w:pPr>
              <w:spacing w:after="0" w:line="240" w:lineRule="auto"/>
              <w:rPr>
                <w:rFonts w:ascii="Verdana" w:eastAsia="Times New Roman" w:hAnsi="Verdana" w:cs="Times New Roman"/>
                <w:sz w:val="18"/>
                <w:szCs w:val="18"/>
              </w:rPr>
            </w:pPr>
          </w:p>
        </w:tc>
      </w:tr>
    </w:tbl>
    <w:p w:rsidR="00760500" w:rsidRDefault="00760500" w:rsidP="00760500">
      <w:pPr>
        <w:spacing w:after="0"/>
        <w:rPr>
          <w:rFonts w:ascii="Verdana" w:hAnsi="Verdana"/>
          <w:sz w:val="18"/>
          <w:szCs w:val="18"/>
        </w:rPr>
      </w:pPr>
    </w:p>
    <w:p w:rsidR="00760500" w:rsidRPr="00760500" w:rsidRDefault="00760500" w:rsidP="00760500">
      <w:pPr>
        <w:spacing w:after="0"/>
        <w:rPr>
          <w:rFonts w:ascii="Verdana" w:hAnsi="Verdana"/>
          <w:sz w:val="18"/>
          <w:szCs w:val="18"/>
        </w:rPr>
      </w:pPr>
      <w:r w:rsidRPr="00760500">
        <w:rPr>
          <w:rFonts w:ascii="Verdana" w:hAnsi="Verdana"/>
          <w:sz w:val="18"/>
          <w:szCs w:val="18"/>
        </w:rPr>
        <w:t>In addition, five validity scales alert you to response distortion, including defensiveness, "faking bad," and inattentive responding. Norms, based on nearly 2,000 adolescents, are provided by age and sex for both drug clinic populations and regular high school samples. So you can see where the teenager stands in relation not only to the most extreme cases but also to average adolescents.</w:t>
      </w:r>
    </w:p>
    <w:p w:rsidR="00760500" w:rsidRPr="00760500" w:rsidRDefault="00760500" w:rsidP="00760500">
      <w:pPr>
        <w:spacing w:after="0"/>
        <w:rPr>
          <w:rFonts w:ascii="Verdana" w:hAnsi="Verdana"/>
          <w:sz w:val="18"/>
          <w:szCs w:val="18"/>
        </w:rPr>
      </w:pPr>
      <w:r w:rsidRPr="00760500">
        <w:rPr>
          <w:rFonts w:ascii="Verdana" w:hAnsi="Verdana"/>
          <w:sz w:val="18"/>
          <w:szCs w:val="18"/>
        </w:rPr>
        <w:t xml:space="preserve">The entire inventory can be completed in just 45 minutes. It is then computer scored--using WPS TEST REPORT Mail-In Answer Sheets, the PEI CD, or FAX Service. All of these scoring options provide a complete interpretive report. </w:t>
      </w:r>
    </w:p>
    <w:p w:rsidR="00760500" w:rsidRPr="00760500" w:rsidRDefault="00760500" w:rsidP="00760500">
      <w:pPr>
        <w:spacing w:after="0"/>
        <w:rPr>
          <w:rFonts w:ascii="Verdana" w:hAnsi="Verdana"/>
          <w:sz w:val="18"/>
          <w:szCs w:val="18"/>
        </w:rPr>
      </w:pPr>
      <w:r w:rsidRPr="00760500">
        <w:rPr>
          <w:rFonts w:ascii="Verdana" w:hAnsi="Verdana"/>
          <w:sz w:val="18"/>
          <w:szCs w:val="18"/>
        </w:rPr>
        <w:t>The PEI is routinely used in substance abuse treatment programs, student assistance programs, juvenile rehabilitation centers, and private practice. Reinforcing the trend toward earlier intervention, the PEI makes it easier to evaluate the many adolescents who are entering the health care system at younger ages, with more poorly defined problems. It permits more specialized treatment. And it documents the need for treatment--for insurance companies, the juvenile justice system, and parents</w:t>
      </w:r>
    </w:p>
    <w:p w:rsidR="00760500" w:rsidRDefault="00760500" w:rsidP="00760500">
      <w:pPr>
        <w:spacing w:after="0"/>
        <w:rPr>
          <w:rFonts w:ascii="Verdana" w:hAnsi="Verdana"/>
          <w:sz w:val="18"/>
          <w:szCs w:val="18"/>
        </w:rPr>
      </w:pPr>
    </w:p>
    <w:p w:rsidR="00760500" w:rsidRPr="00760500" w:rsidRDefault="00760500" w:rsidP="00760500">
      <w:pPr>
        <w:spacing w:after="0"/>
        <w:rPr>
          <w:rFonts w:ascii="Verdana" w:hAnsi="Verdana"/>
          <w:sz w:val="18"/>
          <w:szCs w:val="18"/>
        </w:rPr>
      </w:pPr>
      <w:r w:rsidRPr="00760500">
        <w:rPr>
          <w:rFonts w:ascii="Verdana" w:hAnsi="Verdana"/>
          <w:sz w:val="18"/>
          <w:szCs w:val="18"/>
        </w:rPr>
        <w:t>Component</w:t>
      </w:r>
    </w:p>
    <w:p w:rsidR="00760500" w:rsidRPr="00760500" w:rsidRDefault="00760500" w:rsidP="00760500">
      <w:pPr>
        <w:spacing w:after="0"/>
        <w:rPr>
          <w:rFonts w:ascii="Verdana" w:hAnsi="Verdana"/>
          <w:sz w:val="18"/>
          <w:szCs w:val="18"/>
        </w:rPr>
      </w:pPr>
      <w:r w:rsidRPr="00760500">
        <w:rPr>
          <w:rFonts w:ascii="Verdana" w:hAnsi="Verdana"/>
          <w:sz w:val="18"/>
          <w:szCs w:val="18"/>
        </w:rPr>
        <w:t>KIT FOR MAIL-IN COMPUTER SCORING: Includes 5 WPS TEST REPORT prepaid PEI Mail-In Answer Booklets for computer scoring and interpretation; 1 Manual</w:t>
      </w:r>
    </w:p>
    <w:p w:rsidR="00760500" w:rsidRPr="00760500" w:rsidRDefault="00760500" w:rsidP="00760500">
      <w:pPr>
        <w:spacing w:after="0"/>
        <w:rPr>
          <w:rFonts w:ascii="Verdana" w:hAnsi="Verdana"/>
          <w:sz w:val="18"/>
          <w:szCs w:val="18"/>
        </w:rPr>
      </w:pPr>
      <w:r w:rsidRPr="00760500">
        <w:rPr>
          <w:rFonts w:ascii="Verdana" w:hAnsi="Verdana"/>
          <w:sz w:val="18"/>
          <w:szCs w:val="18"/>
        </w:rPr>
        <w:t xml:space="preserve"> </w:t>
      </w:r>
    </w:p>
    <w:p w:rsidR="00760500" w:rsidRPr="00760500" w:rsidRDefault="00760500" w:rsidP="00760500">
      <w:pPr>
        <w:spacing w:after="0"/>
        <w:rPr>
          <w:rFonts w:ascii="Verdana" w:hAnsi="Verdana"/>
          <w:sz w:val="18"/>
          <w:szCs w:val="18"/>
        </w:rPr>
      </w:pPr>
      <w:r w:rsidRPr="00760500">
        <w:rPr>
          <w:rFonts w:ascii="Verdana" w:hAnsi="Verdana"/>
          <w:sz w:val="18"/>
          <w:szCs w:val="18"/>
        </w:rPr>
        <w:t xml:space="preserve"> </w:t>
      </w:r>
    </w:p>
    <w:p w:rsidR="00760500" w:rsidRPr="00760500" w:rsidRDefault="00760500" w:rsidP="00760500">
      <w:pPr>
        <w:spacing w:after="0"/>
        <w:rPr>
          <w:rFonts w:ascii="Verdana" w:hAnsi="Verdana"/>
          <w:sz w:val="18"/>
          <w:szCs w:val="18"/>
        </w:rPr>
      </w:pPr>
    </w:p>
    <w:sectPr w:rsidR="00760500" w:rsidRPr="00760500" w:rsidSect="007E4C6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0DDC"/>
    <w:rsid w:val="00760500"/>
    <w:rsid w:val="007C0DDC"/>
    <w:rsid w:val="007E4C6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C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0500"/>
    <w:rPr>
      <w:b/>
      <w:bCs/>
    </w:rPr>
  </w:style>
  <w:style w:type="paragraph" w:styleId="NormalWeb">
    <w:name w:val="Normal (Web)"/>
    <w:basedOn w:val="Normal"/>
    <w:uiPriority w:val="99"/>
    <w:unhideWhenUsed/>
    <w:rsid w:val="007605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0500"/>
    <w:rPr>
      <w:color w:val="0000FF"/>
      <w:u w:val="single"/>
    </w:rPr>
  </w:style>
  <w:style w:type="paragraph" w:styleId="BalloonText">
    <w:name w:val="Balloon Text"/>
    <w:basedOn w:val="Normal"/>
    <w:link w:val="BalloonTextChar"/>
    <w:uiPriority w:val="99"/>
    <w:semiHidden/>
    <w:unhideWhenUsed/>
    <w:rsid w:val="00760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7787334">
      <w:bodyDiv w:val="1"/>
      <w:marLeft w:val="0"/>
      <w:marRight w:val="0"/>
      <w:marTop w:val="0"/>
      <w:marBottom w:val="0"/>
      <w:divBdr>
        <w:top w:val="none" w:sz="0" w:space="0" w:color="auto"/>
        <w:left w:val="none" w:sz="0" w:space="0" w:color="auto"/>
        <w:bottom w:val="none" w:sz="0" w:space="0" w:color="auto"/>
        <w:right w:val="none" w:sz="0" w:space="0" w:color="auto"/>
      </w:divBdr>
      <w:divsChild>
        <w:div w:id="1083524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291" TargetMode="External"/><Relationship Id="rId3" Type="http://schemas.openxmlformats.org/officeDocument/2006/relationships/webSettings" Target="webSettings.xml"/><Relationship Id="rId7" Type="http://schemas.openxmlformats.org/officeDocument/2006/relationships/hyperlink" Target="http://portal.wpspublish.com/pls/portal/url/page/wps/W-3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wpspublish.com/pls/portal/url/page/wps/W-271"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portal.wpspublish.com/pls/portal/url/page/wps/W-4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3310</Characters>
  <Application>Microsoft Office Word</Application>
  <DocSecurity>0</DocSecurity>
  <Lines>27</Lines>
  <Paragraphs>7</Paragraphs>
  <ScaleCrop>false</ScaleCrop>
  <Company>Home</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2010-03-09T09:02:00Z</dcterms:created>
  <dcterms:modified xsi:type="dcterms:W3CDTF">2010-03-09T09:06:00Z</dcterms:modified>
</cp:coreProperties>
</file>